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684B" w14:textId="77777777" w:rsidR="00295339" w:rsidRPr="00295339" w:rsidRDefault="00295339" w:rsidP="00295339">
      <w:pPr>
        <w:pStyle w:val="NormalWeb"/>
        <w:rPr>
          <w:rFonts w:ascii="Arial" w:hAnsi="Arial" w:cs="Arial"/>
          <w:color w:val="000000"/>
          <w:sz w:val="28"/>
          <w:szCs w:val="28"/>
        </w:rPr>
      </w:pPr>
      <w:r w:rsidRPr="00295339">
        <w:rPr>
          <w:rFonts w:ascii="Arial" w:hAnsi="Arial" w:cs="Arial"/>
          <w:color w:val="000000"/>
          <w:sz w:val="28"/>
          <w:szCs w:val="28"/>
        </w:rPr>
        <w:t>FLORIDA GATEWAY COLLEGE</w:t>
      </w:r>
    </w:p>
    <w:p w14:paraId="7A9ECD53" w14:textId="6DDD3868" w:rsidR="00295339" w:rsidRDefault="00295339" w:rsidP="00295339">
      <w:pPr>
        <w:pStyle w:val="NormalWeb"/>
        <w:pBdr>
          <w:bottom w:val="single" w:sz="12" w:space="1" w:color="auto"/>
        </w:pBdr>
        <w:jc w:val="center"/>
        <w:rPr>
          <w:rFonts w:ascii="Arial" w:hAnsi="Arial" w:cs="Arial"/>
          <w:color w:val="000000"/>
          <w:sz w:val="28"/>
          <w:szCs w:val="28"/>
        </w:rPr>
      </w:pPr>
      <w:r w:rsidRPr="00295339">
        <w:rPr>
          <w:rFonts w:ascii="Arial" w:hAnsi="Arial" w:cs="Arial"/>
          <w:color w:val="000000"/>
          <w:sz w:val="28"/>
          <w:szCs w:val="28"/>
        </w:rPr>
        <w:t>POLICY</w:t>
      </w:r>
    </w:p>
    <w:p w14:paraId="28A03B7D" w14:textId="7E3AB565" w:rsidR="00295339" w:rsidRDefault="00295339" w:rsidP="00295339">
      <w:pPr>
        <w:pStyle w:val="NormalWeb"/>
        <w:rPr>
          <w:rFonts w:ascii="Arial" w:hAnsi="Arial" w:cs="Arial"/>
          <w:color w:val="000000"/>
          <w:sz w:val="28"/>
          <w:szCs w:val="28"/>
        </w:rPr>
      </w:pPr>
      <w:r w:rsidRPr="00295339">
        <w:rPr>
          <w:rFonts w:ascii="Arial" w:hAnsi="Arial" w:cs="Arial"/>
          <w:color w:val="000000"/>
          <w:sz w:val="28"/>
          <w:szCs w:val="28"/>
        </w:rPr>
        <w:t xml:space="preserve">TITLE: </w:t>
      </w:r>
      <w:r>
        <w:rPr>
          <w:rFonts w:ascii="Arial" w:hAnsi="Arial" w:cs="Arial"/>
          <w:color w:val="000000"/>
          <w:sz w:val="28"/>
          <w:szCs w:val="28"/>
        </w:rPr>
        <w:t>Title IX Polic</w:t>
      </w:r>
      <w:r w:rsidR="00AB0DEA">
        <w:rPr>
          <w:rFonts w:ascii="Arial" w:hAnsi="Arial" w:cs="Arial"/>
          <w:color w:val="000000"/>
          <w:sz w:val="28"/>
          <w:szCs w:val="28"/>
        </w:rPr>
        <w:t>y</w:t>
      </w:r>
      <w:r>
        <w:rPr>
          <w:rFonts w:ascii="Arial" w:hAnsi="Arial" w:cs="Arial"/>
          <w:color w:val="000000"/>
          <w:sz w:val="28"/>
          <w:szCs w:val="28"/>
        </w:rPr>
        <w:t xml:space="preserve">, </w:t>
      </w:r>
      <w:proofErr w:type="gramStart"/>
      <w:r>
        <w:rPr>
          <w:rFonts w:ascii="Arial" w:hAnsi="Arial" w:cs="Arial"/>
          <w:color w:val="000000"/>
          <w:sz w:val="28"/>
          <w:szCs w:val="28"/>
        </w:rPr>
        <w:t>Procedures</w:t>
      </w:r>
      <w:proofErr w:type="gramEnd"/>
      <w:r>
        <w:rPr>
          <w:rFonts w:ascii="Arial" w:hAnsi="Arial" w:cs="Arial"/>
          <w:color w:val="000000"/>
          <w:sz w:val="28"/>
          <w:szCs w:val="28"/>
        </w:rPr>
        <w:t xml:space="preserve"> and Investigations</w:t>
      </w:r>
      <w:r>
        <w:rPr>
          <w:rFonts w:ascii="Arial" w:hAnsi="Arial" w:cs="Arial"/>
          <w:color w:val="000000"/>
          <w:sz w:val="28"/>
          <w:szCs w:val="28"/>
        </w:rPr>
        <w:tab/>
      </w:r>
    </w:p>
    <w:p w14:paraId="3937DF51" w14:textId="21D1FF4E" w:rsidR="00295339" w:rsidRPr="00295339" w:rsidRDefault="00295339" w:rsidP="00295339">
      <w:pPr>
        <w:pStyle w:val="NormalWeb"/>
        <w:rPr>
          <w:rFonts w:ascii="Arial" w:hAnsi="Arial" w:cs="Arial"/>
          <w:color w:val="000000"/>
          <w:sz w:val="28"/>
          <w:szCs w:val="28"/>
        </w:rPr>
      </w:pPr>
      <w:r w:rsidRPr="00295339">
        <w:rPr>
          <w:rFonts w:ascii="Arial" w:hAnsi="Arial" w:cs="Arial"/>
          <w:color w:val="000000"/>
          <w:sz w:val="28"/>
          <w:szCs w:val="28"/>
        </w:rPr>
        <w:t>NUMBER: 6Hx12:</w:t>
      </w:r>
      <w:r w:rsidR="0048124C">
        <w:rPr>
          <w:rFonts w:ascii="Arial" w:hAnsi="Arial" w:cs="Arial"/>
          <w:color w:val="000000"/>
          <w:sz w:val="28"/>
          <w:szCs w:val="28"/>
        </w:rPr>
        <w:t>6-45</w:t>
      </w:r>
    </w:p>
    <w:p w14:paraId="2F7EEB23" w14:textId="1E337FDA" w:rsidR="00295339" w:rsidRPr="00295339" w:rsidRDefault="00295339" w:rsidP="00295339">
      <w:pPr>
        <w:pStyle w:val="NormalWeb"/>
        <w:rPr>
          <w:rFonts w:ascii="Arial" w:hAnsi="Arial" w:cs="Arial"/>
          <w:color w:val="000000"/>
          <w:sz w:val="28"/>
          <w:szCs w:val="28"/>
        </w:rPr>
      </w:pPr>
      <w:r w:rsidRPr="00295339">
        <w:rPr>
          <w:rFonts w:ascii="Arial" w:hAnsi="Arial" w:cs="Arial"/>
          <w:color w:val="000000"/>
          <w:sz w:val="28"/>
          <w:szCs w:val="28"/>
        </w:rPr>
        <w:t xml:space="preserve">AUTHORITY: District Board of Trustees </w:t>
      </w:r>
      <w:r>
        <w:rPr>
          <w:rFonts w:ascii="Arial" w:hAnsi="Arial" w:cs="Arial"/>
          <w:color w:val="000000"/>
          <w:sz w:val="28"/>
          <w:szCs w:val="28"/>
        </w:rPr>
        <w:tab/>
      </w:r>
      <w:r>
        <w:rPr>
          <w:rFonts w:ascii="Arial" w:hAnsi="Arial" w:cs="Arial"/>
          <w:color w:val="000000"/>
          <w:sz w:val="28"/>
          <w:szCs w:val="28"/>
        </w:rPr>
        <w:tab/>
      </w:r>
      <w:r w:rsidRPr="00295339">
        <w:rPr>
          <w:rFonts w:ascii="Arial" w:hAnsi="Arial" w:cs="Arial"/>
          <w:color w:val="000000"/>
          <w:sz w:val="28"/>
          <w:szCs w:val="28"/>
        </w:rPr>
        <w:t>PAGE: 1</w:t>
      </w:r>
      <w:r w:rsidR="003E06A4">
        <w:rPr>
          <w:rFonts w:ascii="Arial" w:hAnsi="Arial" w:cs="Arial"/>
          <w:color w:val="000000"/>
          <w:sz w:val="28"/>
          <w:szCs w:val="28"/>
        </w:rPr>
        <w:t xml:space="preserve"> of 6</w:t>
      </w:r>
    </w:p>
    <w:p w14:paraId="330F66D9" w14:textId="19C80351" w:rsidR="00295339" w:rsidRDefault="00295339" w:rsidP="0048124C">
      <w:pPr>
        <w:pStyle w:val="NormalWeb"/>
        <w:pBdr>
          <w:bottom w:val="single" w:sz="12" w:space="1" w:color="auto"/>
        </w:pBdr>
        <w:spacing w:before="0" w:beforeAutospacing="0" w:after="0" w:afterAutospacing="0"/>
        <w:rPr>
          <w:rFonts w:ascii="Arial" w:hAnsi="Arial" w:cs="Arial"/>
          <w:color w:val="000000"/>
          <w:sz w:val="28"/>
          <w:szCs w:val="28"/>
        </w:rPr>
      </w:pPr>
      <w:r w:rsidRPr="00295339">
        <w:rPr>
          <w:rFonts w:ascii="Arial" w:hAnsi="Arial" w:cs="Arial"/>
          <w:color w:val="000000"/>
          <w:sz w:val="28"/>
          <w:szCs w:val="28"/>
        </w:rPr>
        <w:t xml:space="preserve">OTHER: Florida Statutes 1001.64; 1001.65; </w:t>
      </w:r>
      <w:r>
        <w:rPr>
          <w:rFonts w:ascii="Arial" w:hAnsi="Arial" w:cs="Arial"/>
          <w:color w:val="000000"/>
          <w:sz w:val="28"/>
          <w:szCs w:val="28"/>
        </w:rPr>
        <w:tab/>
      </w:r>
      <w:r w:rsidRPr="00295339">
        <w:rPr>
          <w:rFonts w:ascii="Arial" w:hAnsi="Arial" w:cs="Arial"/>
          <w:color w:val="000000"/>
          <w:sz w:val="28"/>
          <w:szCs w:val="28"/>
        </w:rPr>
        <w:t xml:space="preserve">DATE: </w:t>
      </w:r>
      <w:r w:rsidR="003E06A4">
        <w:rPr>
          <w:rFonts w:ascii="Arial" w:hAnsi="Arial" w:cs="Arial"/>
          <w:color w:val="000000"/>
          <w:sz w:val="28"/>
          <w:szCs w:val="28"/>
        </w:rPr>
        <w:t>See History Below</w:t>
      </w:r>
    </w:p>
    <w:p w14:paraId="69A4ADD2" w14:textId="659F72FF" w:rsidR="0048124C" w:rsidRPr="00295339" w:rsidRDefault="0048124C" w:rsidP="0048124C">
      <w:pPr>
        <w:pStyle w:val="NormalWeb"/>
        <w:pBdr>
          <w:bottom w:val="single" w:sz="12" w:space="1" w:color="auto"/>
        </w:pBdr>
        <w:spacing w:before="0" w:beforeAutospacing="0" w:after="0" w:afterAutospacing="0"/>
        <w:rPr>
          <w:rFonts w:ascii="Arial" w:hAnsi="Arial" w:cs="Arial"/>
          <w:color w:val="000000"/>
          <w:sz w:val="28"/>
          <w:szCs w:val="28"/>
        </w:rPr>
      </w:pPr>
      <w:r>
        <w:rPr>
          <w:rFonts w:ascii="Arial" w:hAnsi="Arial" w:cs="Arial"/>
          <w:color w:val="000000"/>
          <w:sz w:val="28"/>
          <w:szCs w:val="28"/>
        </w:rPr>
        <w:t>State Board of Education Rule 6A-</w:t>
      </w:r>
      <w:proofErr w:type="gramStart"/>
      <w:r>
        <w:rPr>
          <w:rFonts w:ascii="Arial" w:hAnsi="Arial" w:cs="Arial"/>
          <w:color w:val="000000"/>
          <w:sz w:val="28"/>
          <w:szCs w:val="28"/>
        </w:rPr>
        <w:t>19.008</w:t>
      </w:r>
      <w:proofErr w:type="gramEnd"/>
    </w:p>
    <w:p w14:paraId="0125EEF1" w14:textId="6C159985" w:rsidR="005508AE" w:rsidRDefault="009D0406" w:rsidP="005508AE">
      <w:pPr>
        <w:pStyle w:val="NormalWeb"/>
        <w:spacing w:after="0" w:afterAutospacing="0"/>
        <w:jc w:val="both"/>
        <w:rPr>
          <w:rFonts w:ascii="Arial" w:hAnsi="Arial" w:cs="Arial"/>
          <w:color w:val="000000"/>
          <w:sz w:val="28"/>
          <w:szCs w:val="28"/>
        </w:rPr>
      </w:pPr>
      <w:r w:rsidRPr="009D0406">
        <w:rPr>
          <w:rFonts w:ascii="Arial" w:hAnsi="Arial" w:cs="Arial"/>
          <w:color w:val="000000"/>
          <w:sz w:val="28"/>
          <w:szCs w:val="28"/>
        </w:rPr>
        <w:t>Florida Gateway College</w:t>
      </w:r>
      <w:r>
        <w:rPr>
          <w:rFonts w:ascii="Arial" w:hAnsi="Arial" w:cs="Arial"/>
          <w:color w:val="000000"/>
          <w:sz w:val="28"/>
          <w:szCs w:val="28"/>
        </w:rPr>
        <w:t xml:space="preserve"> is committed to providing an environment </w:t>
      </w:r>
      <w:r w:rsidR="00570001">
        <w:rPr>
          <w:rFonts w:ascii="Arial" w:hAnsi="Arial" w:cs="Arial"/>
          <w:color w:val="000000"/>
          <w:sz w:val="28"/>
          <w:szCs w:val="28"/>
        </w:rPr>
        <w:t xml:space="preserve">that is </w:t>
      </w:r>
      <w:r>
        <w:rPr>
          <w:rFonts w:ascii="Arial" w:hAnsi="Arial" w:cs="Arial"/>
          <w:color w:val="000000"/>
          <w:sz w:val="28"/>
          <w:szCs w:val="28"/>
        </w:rPr>
        <w:t>free</w:t>
      </w:r>
      <w:r w:rsidR="0048124C">
        <w:rPr>
          <w:rFonts w:ascii="Arial" w:hAnsi="Arial" w:cs="Arial"/>
          <w:color w:val="000000"/>
          <w:sz w:val="28"/>
          <w:szCs w:val="28"/>
        </w:rPr>
        <w:t xml:space="preserve"> from</w:t>
      </w:r>
      <w:r>
        <w:rPr>
          <w:rFonts w:ascii="Arial" w:hAnsi="Arial" w:cs="Arial"/>
          <w:color w:val="000000"/>
          <w:sz w:val="28"/>
          <w:szCs w:val="28"/>
        </w:rPr>
        <w:t xml:space="preserve"> </w:t>
      </w:r>
      <w:r w:rsidR="00570001">
        <w:rPr>
          <w:rFonts w:ascii="Arial" w:hAnsi="Arial" w:cs="Arial"/>
          <w:color w:val="000000"/>
          <w:sz w:val="28"/>
          <w:szCs w:val="28"/>
        </w:rPr>
        <w:t>sexual harassment and sexual misconduct</w:t>
      </w:r>
      <w:proofErr w:type="gramStart"/>
      <w:r>
        <w:rPr>
          <w:rFonts w:ascii="Arial" w:hAnsi="Arial" w:cs="Arial"/>
          <w:color w:val="000000"/>
          <w:sz w:val="28"/>
          <w:szCs w:val="28"/>
        </w:rPr>
        <w:t xml:space="preserve">.  </w:t>
      </w:r>
      <w:proofErr w:type="gramEnd"/>
      <w:r w:rsidR="005508AE">
        <w:rPr>
          <w:rFonts w:ascii="Arial" w:hAnsi="Arial" w:cs="Arial"/>
          <w:color w:val="000000"/>
          <w:sz w:val="28"/>
          <w:szCs w:val="28"/>
        </w:rPr>
        <w:t xml:space="preserve">This policy covers a broad range of behavior as defined in this Policy, including sexual harassment, sexual </w:t>
      </w:r>
      <w:proofErr w:type="gramStart"/>
      <w:r w:rsidR="005508AE">
        <w:rPr>
          <w:rFonts w:ascii="Arial" w:hAnsi="Arial" w:cs="Arial"/>
          <w:color w:val="000000"/>
          <w:sz w:val="28"/>
          <w:szCs w:val="28"/>
        </w:rPr>
        <w:t>misconduct</w:t>
      </w:r>
      <w:proofErr w:type="gramEnd"/>
      <w:r w:rsidR="005508AE">
        <w:rPr>
          <w:rFonts w:ascii="Arial" w:hAnsi="Arial" w:cs="Arial"/>
          <w:color w:val="000000"/>
          <w:sz w:val="28"/>
          <w:szCs w:val="28"/>
        </w:rPr>
        <w:t xml:space="preserve"> and retaliation</w:t>
      </w:r>
      <w:r w:rsidR="0048124C">
        <w:rPr>
          <w:rFonts w:ascii="Arial" w:hAnsi="Arial" w:cs="Arial"/>
          <w:color w:val="000000"/>
          <w:sz w:val="28"/>
          <w:szCs w:val="28"/>
        </w:rPr>
        <w:t>, all of which</w:t>
      </w:r>
      <w:r w:rsidR="005508AE">
        <w:rPr>
          <w:rFonts w:ascii="Arial" w:hAnsi="Arial" w:cs="Arial"/>
          <w:color w:val="000000"/>
          <w:sz w:val="28"/>
          <w:szCs w:val="28"/>
        </w:rPr>
        <w:t xml:space="preserve"> </w:t>
      </w:r>
      <w:proofErr w:type="gramStart"/>
      <w:r w:rsidR="005508AE">
        <w:rPr>
          <w:rFonts w:ascii="Arial" w:hAnsi="Arial" w:cs="Arial"/>
          <w:color w:val="000000"/>
          <w:sz w:val="28"/>
          <w:szCs w:val="28"/>
        </w:rPr>
        <w:t>are prohibited</w:t>
      </w:r>
      <w:proofErr w:type="gramEnd"/>
      <w:r w:rsidR="005508AE">
        <w:rPr>
          <w:rFonts w:ascii="Arial" w:hAnsi="Arial" w:cs="Arial"/>
          <w:color w:val="000000"/>
          <w:sz w:val="28"/>
          <w:szCs w:val="28"/>
        </w:rPr>
        <w:t xml:space="preserve"> under this Policy as well as State and Federal law and regulations.</w:t>
      </w:r>
    </w:p>
    <w:p w14:paraId="6243FB38" w14:textId="3D3E28C7" w:rsidR="005508AE" w:rsidRDefault="005508AE" w:rsidP="005508AE">
      <w:pPr>
        <w:pStyle w:val="NormalWeb"/>
        <w:spacing w:after="0" w:afterAutospacing="0"/>
        <w:jc w:val="both"/>
        <w:rPr>
          <w:rFonts w:ascii="Arial" w:hAnsi="Arial" w:cs="Arial"/>
          <w:color w:val="000000"/>
          <w:sz w:val="28"/>
          <w:szCs w:val="28"/>
        </w:rPr>
      </w:pPr>
      <w:r>
        <w:rPr>
          <w:rFonts w:ascii="Arial" w:hAnsi="Arial" w:cs="Arial"/>
          <w:color w:val="000000"/>
          <w:sz w:val="28"/>
          <w:szCs w:val="28"/>
        </w:rPr>
        <w:t xml:space="preserve">As a recipient of federal funds, the College </w:t>
      </w:r>
      <w:proofErr w:type="gramStart"/>
      <w:r>
        <w:rPr>
          <w:rFonts w:ascii="Arial" w:hAnsi="Arial" w:cs="Arial"/>
          <w:color w:val="000000"/>
          <w:sz w:val="28"/>
          <w:szCs w:val="28"/>
        </w:rPr>
        <w:t>is required</w:t>
      </w:r>
      <w:proofErr w:type="gramEnd"/>
      <w:r>
        <w:rPr>
          <w:rFonts w:ascii="Arial" w:hAnsi="Arial" w:cs="Arial"/>
          <w:color w:val="000000"/>
          <w:sz w:val="28"/>
          <w:szCs w:val="28"/>
        </w:rPr>
        <w:t xml:space="preserve"> to comply with Title IX of the Educational Amendments of 1972, 20 U.S.C. § 1681, et. seq. (“Title IX”), which prohibits any person in the United States from </w:t>
      </w:r>
      <w:proofErr w:type="gramStart"/>
      <w:r>
        <w:rPr>
          <w:rFonts w:ascii="Arial" w:hAnsi="Arial" w:cs="Arial"/>
          <w:color w:val="000000"/>
          <w:sz w:val="28"/>
          <w:szCs w:val="28"/>
        </w:rPr>
        <w:t>being discriminated</w:t>
      </w:r>
      <w:proofErr w:type="gramEnd"/>
      <w:r>
        <w:rPr>
          <w:rFonts w:ascii="Arial" w:hAnsi="Arial" w:cs="Arial"/>
          <w:color w:val="000000"/>
          <w:sz w:val="28"/>
          <w:szCs w:val="28"/>
        </w:rPr>
        <w:t xml:space="preserve"> against </w:t>
      </w:r>
      <w:proofErr w:type="gramStart"/>
      <w:r>
        <w:rPr>
          <w:rFonts w:ascii="Arial" w:hAnsi="Arial" w:cs="Arial"/>
          <w:color w:val="000000"/>
          <w:sz w:val="28"/>
          <w:szCs w:val="28"/>
        </w:rPr>
        <w:t>on the basis of</w:t>
      </w:r>
      <w:proofErr w:type="gramEnd"/>
      <w:r>
        <w:rPr>
          <w:rFonts w:ascii="Arial" w:hAnsi="Arial" w:cs="Arial"/>
          <w:color w:val="000000"/>
          <w:sz w:val="28"/>
          <w:szCs w:val="28"/>
        </w:rPr>
        <w:t xml:space="preserve"> sex in seeking access to any educational program or activity receiving federal financial assistance</w:t>
      </w:r>
      <w:proofErr w:type="gramStart"/>
      <w:r>
        <w:rPr>
          <w:rFonts w:ascii="Arial" w:hAnsi="Arial" w:cs="Arial"/>
          <w:color w:val="000000"/>
          <w:sz w:val="28"/>
          <w:szCs w:val="28"/>
        </w:rPr>
        <w:t xml:space="preserve">.  </w:t>
      </w:r>
      <w:proofErr w:type="gramEnd"/>
      <w:r>
        <w:rPr>
          <w:rFonts w:ascii="Arial" w:hAnsi="Arial" w:cs="Arial"/>
          <w:color w:val="000000"/>
          <w:sz w:val="28"/>
          <w:szCs w:val="28"/>
        </w:rPr>
        <w:t>The U.S. Department of Education, which enforce</w:t>
      </w:r>
      <w:r w:rsidR="004361E7">
        <w:rPr>
          <w:rFonts w:ascii="Arial" w:hAnsi="Arial" w:cs="Arial"/>
          <w:color w:val="000000"/>
          <w:sz w:val="28"/>
          <w:szCs w:val="28"/>
        </w:rPr>
        <w:t xml:space="preserve">s </w:t>
      </w:r>
      <w:r>
        <w:rPr>
          <w:rFonts w:ascii="Arial" w:hAnsi="Arial" w:cs="Arial"/>
          <w:color w:val="000000"/>
          <w:sz w:val="28"/>
          <w:szCs w:val="28"/>
        </w:rPr>
        <w:t>Title IX</w:t>
      </w:r>
      <w:r w:rsidR="004361E7">
        <w:rPr>
          <w:rFonts w:ascii="Arial" w:hAnsi="Arial" w:cs="Arial"/>
          <w:color w:val="000000"/>
          <w:sz w:val="28"/>
          <w:szCs w:val="28"/>
        </w:rPr>
        <w:t xml:space="preserve">, </w:t>
      </w:r>
      <w:r>
        <w:rPr>
          <w:rFonts w:ascii="Arial" w:hAnsi="Arial" w:cs="Arial"/>
          <w:color w:val="000000"/>
          <w:sz w:val="28"/>
          <w:szCs w:val="28"/>
        </w:rPr>
        <w:t>has long defined the meaning of Title IX’s prohibition on sex discrimination broadly to include various forms of sexual harassment and sexual violence that interfere with a person’s ability to equally access our educational programs and activities</w:t>
      </w:r>
      <w:proofErr w:type="gramStart"/>
      <w:r>
        <w:rPr>
          <w:rFonts w:ascii="Arial" w:hAnsi="Arial" w:cs="Arial"/>
          <w:color w:val="000000"/>
          <w:sz w:val="28"/>
          <w:szCs w:val="28"/>
        </w:rPr>
        <w:t xml:space="preserve">.  </w:t>
      </w:r>
      <w:proofErr w:type="gramEnd"/>
      <w:r>
        <w:rPr>
          <w:rFonts w:ascii="Arial" w:hAnsi="Arial" w:cs="Arial"/>
          <w:color w:val="000000"/>
          <w:sz w:val="28"/>
          <w:szCs w:val="28"/>
        </w:rPr>
        <w:t xml:space="preserve">Title IX and this Policy applies to students, </w:t>
      </w:r>
      <w:proofErr w:type="gramStart"/>
      <w:r>
        <w:rPr>
          <w:rFonts w:ascii="Arial" w:hAnsi="Arial" w:cs="Arial"/>
          <w:color w:val="000000"/>
          <w:sz w:val="28"/>
          <w:szCs w:val="28"/>
        </w:rPr>
        <w:t>faculty</w:t>
      </w:r>
      <w:proofErr w:type="gramEnd"/>
      <w:r>
        <w:rPr>
          <w:rFonts w:ascii="Arial" w:hAnsi="Arial" w:cs="Arial"/>
          <w:color w:val="000000"/>
          <w:sz w:val="28"/>
          <w:szCs w:val="28"/>
        </w:rPr>
        <w:t xml:space="preserve"> and staff at FGC</w:t>
      </w:r>
      <w:proofErr w:type="gramStart"/>
      <w:r>
        <w:rPr>
          <w:rFonts w:ascii="Arial" w:hAnsi="Arial" w:cs="Arial"/>
          <w:color w:val="000000"/>
          <w:sz w:val="28"/>
          <w:szCs w:val="28"/>
        </w:rPr>
        <w:t xml:space="preserve">.  </w:t>
      </w:r>
      <w:proofErr w:type="gramEnd"/>
      <w:r>
        <w:rPr>
          <w:rFonts w:ascii="Arial" w:hAnsi="Arial" w:cs="Arial"/>
          <w:color w:val="000000"/>
          <w:sz w:val="28"/>
          <w:szCs w:val="28"/>
        </w:rPr>
        <w:t xml:space="preserve">FGC prohibits acts of sexual harassment and misconduct which include, but </w:t>
      </w:r>
      <w:proofErr w:type="gramStart"/>
      <w:r>
        <w:rPr>
          <w:rFonts w:ascii="Arial" w:hAnsi="Arial" w:cs="Arial"/>
          <w:color w:val="000000"/>
          <w:sz w:val="28"/>
          <w:szCs w:val="28"/>
        </w:rPr>
        <w:t>are not limited</w:t>
      </w:r>
      <w:proofErr w:type="gramEnd"/>
      <w:r>
        <w:rPr>
          <w:rFonts w:ascii="Arial" w:hAnsi="Arial" w:cs="Arial"/>
          <w:color w:val="000000"/>
          <w:sz w:val="28"/>
          <w:szCs w:val="28"/>
        </w:rPr>
        <w:t xml:space="preserve"> to, sexual assault/battery, dating violence, domestic violence, stalking, exploitation, voyeurism, or exhibitionism on any of its campuses</w:t>
      </w:r>
      <w:proofErr w:type="gramStart"/>
      <w:r>
        <w:rPr>
          <w:rFonts w:ascii="Arial" w:hAnsi="Arial" w:cs="Arial"/>
          <w:color w:val="000000"/>
          <w:sz w:val="28"/>
          <w:szCs w:val="28"/>
        </w:rPr>
        <w:t xml:space="preserve">.  </w:t>
      </w:r>
      <w:proofErr w:type="gramEnd"/>
      <w:r>
        <w:rPr>
          <w:rFonts w:ascii="Arial" w:hAnsi="Arial" w:cs="Arial"/>
          <w:color w:val="000000"/>
          <w:sz w:val="28"/>
          <w:szCs w:val="28"/>
        </w:rPr>
        <w:t>Under Title IX, FGC may discipline students and College employees for acts of sexual harassment and misconduct when:</w:t>
      </w:r>
    </w:p>
    <w:p w14:paraId="644F3A8B" w14:textId="78CC0986" w:rsidR="005508AE" w:rsidRDefault="005508AE" w:rsidP="005508AE">
      <w:pPr>
        <w:pStyle w:val="NormalWeb"/>
        <w:numPr>
          <w:ilvl w:val="0"/>
          <w:numId w:val="5"/>
        </w:numPr>
        <w:spacing w:after="0" w:afterAutospacing="0"/>
        <w:jc w:val="both"/>
        <w:rPr>
          <w:rFonts w:ascii="Arial" w:hAnsi="Arial" w:cs="Arial"/>
          <w:color w:val="000000"/>
          <w:sz w:val="28"/>
          <w:szCs w:val="28"/>
        </w:rPr>
      </w:pPr>
      <w:r>
        <w:rPr>
          <w:rFonts w:ascii="Arial" w:hAnsi="Arial" w:cs="Arial"/>
          <w:color w:val="000000"/>
          <w:sz w:val="28"/>
          <w:szCs w:val="28"/>
        </w:rPr>
        <w:t>A College employee conditions the provision of College aid, benefit</w:t>
      </w:r>
      <w:r w:rsidR="008A5B58">
        <w:rPr>
          <w:rFonts w:ascii="Arial" w:hAnsi="Arial" w:cs="Arial"/>
          <w:color w:val="000000"/>
          <w:sz w:val="28"/>
          <w:szCs w:val="28"/>
        </w:rPr>
        <w:t>s</w:t>
      </w:r>
      <w:r>
        <w:rPr>
          <w:rFonts w:ascii="Arial" w:hAnsi="Arial" w:cs="Arial"/>
          <w:color w:val="000000"/>
          <w:sz w:val="28"/>
          <w:szCs w:val="28"/>
        </w:rPr>
        <w:t>, or service</w:t>
      </w:r>
      <w:r w:rsidR="008A5B58">
        <w:rPr>
          <w:rFonts w:ascii="Arial" w:hAnsi="Arial" w:cs="Arial"/>
          <w:color w:val="000000"/>
          <w:sz w:val="28"/>
          <w:szCs w:val="28"/>
        </w:rPr>
        <w:t>s</w:t>
      </w:r>
      <w:r>
        <w:rPr>
          <w:rFonts w:ascii="Arial" w:hAnsi="Arial" w:cs="Arial"/>
          <w:color w:val="000000"/>
          <w:sz w:val="28"/>
          <w:szCs w:val="28"/>
        </w:rPr>
        <w:t xml:space="preserve"> on an individual’s participation in unwelcome sexual </w:t>
      </w:r>
      <w:r>
        <w:rPr>
          <w:rFonts w:ascii="Arial" w:hAnsi="Arial" w:cs="Arial"/>
          <w:color w:val="000000"/>
          <w:sz w:val="28"/>
          <w:szCs w:val="28"/>
        </w:rPr>
        <w:lastRenderedPageBreak/>
        <w:t>conduct</w:t>
      </w:r>
      <w:proofErr w:type="gramStart"/>
      <w:r>
        <w:rPr>
          <w:rFonts w:ascii="Arial" w:hAnsi="Arial" w:cs="Arial"/>
          <w:color w:val="000000"/>
          <w:sz w:val="28"/>
          <w:szCs w:val="28"/>
        </w:rPr>
        <w:t xml:space="preserve">.  </w:t>
      </w:r>
      <w:proofErr w:type="gramEnd"/>
      <w:r>
        <w:rPr>
          <w:rFonts w:ascii="Arial" w:hAnsi="Arial" w:cs="Arial"/>
          <w:color w:val="000000"/>
          <w:sz w:val="28"/>
          <w:szCs w:val="28"/>
        </w:rPr>
        <w:t>This conduct is commonly known as quid pro quo harassment</w:t>
      </w:r>
      <w:r w:rsidR="004361E7">
        <w:rPr>
          <w:rFonts w:ascii="Arial" w:hAnsi="Arial" w:cs="Arial"/>
          <w:color w:val="000000"/>
          <w:sz w:val="28"/>
          <w:szCs w:val="28"/>
        </w:rPr>
        <w:t>.</w:t>
      </w:r>
    </w:p>
    <w:p w14:paraId="073155DC" w14:textId="6A82F57E" w:rsidR="005508AE" w:rsidRDefault="005508AE" w:rsidP="005508AE">
      <w:pPr>
        <w:pStyle w:val="NormalWeb"/>
        <w:numPr>
          <w:ilvl w:val="0"/>
          <w:numId w:val="5"/>
        </w:numPr>
        <w:spacing w:after="0" w:afterAutospacing="0"/>
        <w:jc w:val="both"/>
        <w:rPr>
          <w:rFonts w:ascii="Arial" w:hAnsi="Arial" w:cs="Arial"/>
          <w:color w:val="000000"/>
          <w:sz w:val="28"/>
          <w:szCs w:val="28"/>
        </w:rPr>
      </w:pPr>
      <w:r>
        <w:rPr>
          <w:rFonts w:ascii="Arial" w:hAnsi="Arial" w:cs="Arial"/>
          <w:color w:val="000000"/>
          <w:sz w:val="28"/>
          <w:szCs w:val="28"/>
        </w:rPr>
        <w:t xml:space="preserve">The conduct is unwelcome and would be determined by a reasonable person to be so severe, </w:t>
      </w:r>
      <w:proofErr w:type="gramStart"/>
      <w:r>
        <w:rPr>
          <w:rFonts w:ascii="Arial" w:hAnsi="Arial" w:cs="Arial"/>
          <w:color w:val="000000"/>
          <w:sz w:val="28"/>
          <w:szCs w:val="28"/>
        </w:rPr>
        <w:t>pervasive</w:t>
      </w:r>
      <w:proofErr w:type="gramEnd"/>
      <w:r>
        <w:rPr>
          <w:rFonts w:ascii="Arial" w:hAnsi="Arial" w:cs="Arial"/>
          <w:color w:val="000000"/>
          <w:sz w:val="28"/>
          <w:szCs w:val="28"/>
        </w:rPr>
        <w:t xml:space="preserve"> and objectively offensive that it effectively denies a person equal access to the College’s </w:t>
      </w:r>
      <w:r w:rsidR="004361E7">
        <w:rPr>
          <w:rFonts w:ascii="Arial" w:hAnsi="Arial" w:cs="Arial"/>
          <w:color w:val="000000"/>
          <w:sz w:val="28"/>
          <w:szCs w:val="28"/>
        </w:rPr>
        <w:t>educational</w:t>
      </w:r>
      <w:r>
        <w:rPr>
          <w:rFonts w:ascii="Arial" w:hAnsi="Arial" w:cs="Arial"/>
          <w:color w:val="000000"/>
          <w:sz w:val="28"/>
          <w:szCs w:val="28"/>
        </w:rPr>
        <w:t xml:space="preserve"> program or activity; or</w:t>
      </w:r>
    </w:p>
    <w:p w14:paraId="1A692D4C" w14:textId="1BE81ABE" w:rsidR="005508AE" w:rsidRDefault="005508AE" w:rsidP="005508AE">
      <w:pPr>
        <w:pStyle w:val="NormalWeb"/>
        <w:numPr>
          <w:ilvl w:val="0"/>
          <w:numId w:val="5"/>
        </w:numPr>
        <w:spacing w:after="0" w:afterAutospacing="0"/>
        <w:jc w:val="both"/>
        <w:rPr>
          <w:rFonts w:ascii="Arial" w:hAnsi="Arial" w:cs="Arial"/>
          <w:color w:val="000000"/>
          <w:sz w:val="28"/>
          <w:szCs w:val="28"/>
        </w:rPr>
      </w:pPr>
      <w:r>
        <w:rPr>
          <w:rFonts w:ascii="Arial" w:hAnsi="Arial" w:cs="Arial"/>
          <w:color w:val="000000"/>
          <w:sz w:val="28"/>
          <w:szCs w:val="28"/>
        </w:rPr>
        <w:t xml:space="preserve">The conduct involves acts of sexual assault/battery, dating violence, domestic violence, or stalking as those terms </w:t>
      </w:r>
      <w:proofErr w:type="gramStart"/>
      <w:r>
        <w:rPr>
          <w:rFonts w:ascii="Arial" w:hAnsi="Arial" w:cs="Arial"/>
          <w:color w:val="000000"/>
          <w:sz w:val="28"/>
          <w:szCs w:val="28"/>
        </w:rPr>
        <w:t>are defined</w:t>
      </w:r>
      <w:proofErr w:type="gramEnd"/>
      <w:r>
        <w:rPr>
          <w:rFonts w:ascii="Arial" w:hAnsi="Arial" w:cs="Arial"/>
          <w:color w:val="000000"/>
          <w:sz w:val="28"/>
          <w:szCs w:val="28"/>
        </w:rPr>
        <w:t xml:space="preserve"> below.</w:t>
      </w:r>
    </w:p>
    <w:p w14:paraId="40A0DF72" w14:textId="155A76C8" w:rsidR="005508AE" w:rsidRDefault="005508AE" w:rsidP="005508AE">
      <w:pPr>
        <w:pStyle w:val="NormalWeb"/>
        <w:spacing w:after="0" w:afterAutospacing="0"/>
        <w:jc w:val="both"/>
        <w:rPr>
          <w:rFonts w:ascii="Arial" w:hAnsi="Arial" w:cs="Arial"/>
          <w:color w:val="000000"/>
          <w:sz w:val="28"/>
          <w:szCs w:val="28"/>
        </w:rPr>
      </w:pPr>
      <w:r>
        <w:rPr>
          <w:rFonts w:ascii="Arial" w:hAnsi="Arial" w:cs="Arial"/>
          <w:color w:val="000000"/>
          <w:sz w:val="28"/>
          <w:szCs w:val="28"/>
        </w:rPr>
        <w:t>For purposes of this policy, FGC’s educational programs and/or activities include:</w:t>
      </w:r>
    </w:p>
    <w:p w14:paraId="64F75AC4" w14:textId="4AD7EE64" w:rsidR="005508AE" w:rsidRDefault="005508AE" w:rsidP="005508AE">
      <w:pPr>
        <w:pStyle w:val="NormalWeb"/>
        <w:numPr>
          <w:ilvl w:val="0"/>
          <w:numId w:val="6"/>
        </w:numPr>
        <w:spacing w:after="0" w:afterAutospacing="0"/>
        <w:jc w:val="both"/>
        <w:rPr>
          <w:rFonts w:ascii="Arial" w:hAnsi="Arial" w:cs="Arial"/>
          <w:color w:val="000000"/>
          <w:sz w:val="28"/>
          <w:szCs w:val="28"/>
        </w:rPr>
      </w:pPr>
      <w:r>
        <w:rPr>
          <w:rFonts w:ascii="Arial" w:hAnsi="Arial" w:cs="Arial"/>
          <w:color w:val="000000"/>
          <w:sz w:val="28"/>
          <w:szCs w:val="28"/>
        </w:rPr>
        <w:t xml:space="preserve">Educational programs and/or activities which occur on campus </w:t>
      </w:r>
      <w:r w:rsidR="004361E7">
        <w:rPr>
          <w:rFonts w:ascii="Arial" w:hAnsi="Arial" w:cs="Arial"/>
          <w:color w:val="000000"/>
          <w:sz w:val="28"/>
          <w:szCs w:val="28"/>
        </w:rPr>
        <w:t>premises.</w:t>
      </w:r>
    </w:p>
    <w:p w14:paraId="33E62DDF" w14:textId="557457E5" w:rsidR="005508AE" w:rsidRDefault="005508AE" w:rsidP="00C614F3">
      <w:pPr>
        <w:pStyle w:val="NormalWeb"/>
        <w:numPr>
          <w:ilvl w:val="0"/>
          <w:numId w:val="6"/>
        </w:numPr>
        <w:spacing w:after="0" w:afterAutospacing="0"/>
        <w:jc w:val="both"/>
        <w:rPr>
          <w:rFonts w:ascii="Arial" w:hAnsi="Arial" w:cs="Arial"/>
          <w:color w:val="000000"/>
          <w:sz w:val="28"/>
          <w:szCs w:val="28"/>
        </w:rPr>
      </w:pPr>
      <w:r w:rsidRPr="005508AE">
        <w:rPr>
          <w:rFonts w:ascii="Arial" w:hAnsi="Arial" w:cs="Arial"/>
          <w:color w:val="000000"/>
          <w:sz w:val="28"/>
          <w:szCs w:val="28"/>
        </w:rPr>
        <w:t>Educational programs and/or activities that occur at off-campus premises that the College has substantial control over</w:t>
      </w:r>
      <w:proofErr w:type="gramStart"/>
      <w:r w:rsidRPr="005508AE">
        <w:rPr>
          <w:rFonts w:ascii="Arial" w:hAnsi="Arial" w:cs="Arial"/>
          <w:color w:val="000000"/>
          <w:sz w:val="28"/>
          <w:szCs w:val="28"/>
        </w:rPr>
        <w:t xml:space="preserve">.  </w:t>
      </w:r>
      <w:proofErr w:type="gramEnd"/>
    </w:p>
    <w:p w14:paraId="63705832" w14:textId="557627D4" w:rsidR="005508AE" w:rsidRPr="005508AE" w:rsidRDefault="005508AE" w:rsidP="00C614F3">
      <w:pPr>
        <w:pStyle w:val="NormalWeb"/>
        <w:numPr>
          <w:ilvl w:val="0"/>
          <w:numId w:val="6"/>
        </w:numPr>
        <w:spacing w:after="0" w:afterAutospacing="0"/>
        <w:jc w:val="both"/>
        <w:rPr>
          <w:rFonts w:ascii="Arial" w:hAnsi="Arial" w:cs="Arial"/>
          <w:color w:val="000000"/>
          <w:sz w:val="28"/>
          <w:szCs w:val="28"/>
        </w:rPr>
      </w:pPr>
      <w:r>
        <w:rPr>
          <w:rFonts w:ascii="Arial" w:hAnsi="Arial" w:cs="Arial"/>
          <w:color w:val="000000"/>
          <w:sz w:val="28"/>
          <w:szCs w:val="28"/>
        </w:rPr>
        <w:t xml:space="preserve">Any education programs and/or activities occurring within computer and internet networks, digital platforms and computer hardware or software owned or operated </w:t>
      </w:r>
      <w:r w:rsidR="004361E7">
        <w:rPr>
          <w:rFonts w:ascii="Arial" w:hAnsi="Arial" w:cs="Arial"/>
          <w:color w:val="000000"/>
          <w:sz w:val="28"/>
          <w:szCs w:val="28"/>
        </w:rPr>
        <w:t>by or</w:t>
      </w:r>
      <w:r>
        <w:rPr>
          <w:rFonts w:ascii="Arial" w:hAnsi="Arial" w:cs="Arial"/>
          <w:color w:val="000000"/>
          <w:sz w:val="28"/>
          <w:szCs w:val="28"/>
        </w:rPr>
        <w:t xml:space="preserve"> used in the operations of FGC over which the College has substantial control.</w:t>
      </w:r>
    </w:p>
    <w:p w14:paraId="1BEB0B97" w14:textId="14AF2C31" w:rsidR="005508AE" w:rsidRDefault="005508AE" w:rsidP="009D0406">
      <w:pPr>
        <w:pStyle w:val="NormalWeb"/>
        <w:jc w:val="both"/>
        <w:rPr>
          <w:rFonts w:ascii="Arial" w:hAnsi="Arial" w:cs="Arial"/>
          <w:color w:val="000000"/>
          <w:sz w:val="28"/>
          <w:szCs w:val="28"/>
        </w:rPr>
      </w:pPr>
      <w:r>
        <w:rPr>
          <w:rFonts w:ascii="Arial" w:hAnsi="Arial" w:cs="Arial"/>
          <w:color w:val="000000"/>
          <w:sz w:val="28"/>
          <w:szCs w:val="28"/>
        </w:rPr>
        <w:t xml:space="preserve">FGC remains committed to addressing any act of sexual harassment and misconduct if such acts </w:t>
      </w:r>
      <w:proofErr w:type="gramStart"/>
      <w:r>
        <w:rPr>
          <w:rFonts w:ascii="Arial" w:hAnsi="Arial" w:cs="Arial"/>
          <w:color w:val="000000"/>
          <w:sz w:val="28"/>
          <w:szCs w:val="28"/>
        </w:rPr>
        <w:t>are found</w:t>
      </w:r>
      <w:proofErr w:type="gramEnd"/>
      <w:r>
        <w:rPr>
          <w:rFonts w:ascii="Arial" w:hAnsi="Arial" w:cs="Arial"/>
          <w:color w:val="000000"/>
          <w:sz w:val="28"/>
          <w:szCs w:val="28"/>
        </w:rPr>
        <w:t xml:space="preserve"> to be detrimental to the interests of the College or to interfere with the educational and orderly operation of the College</w:t>
      </w:r>
      <w:proofErr w:type="gramStart"/>
      <w:r>
        <w:rPr>
          <w:rFonts w:ascii="Arial" w:hAnsi="Arial" w:cs="Arial"/>
          <w:color w:val="000000"/>
          <w:sz w:val="28"/>
          <w:szCs w:val="28"/>
        </w:rPr>
        <w:t xml:space="preserve">.  </w:t>
      </w:r>
      <w:proofErr w:type="gramEnd"/>
      <w:r>
        <w:rPr>
          <w:rFonts w:ascii="Arial" w:hAnsi="Arial" w:cs="Arial"/>
          <w:color w:val="000000"/>
          <w:sz w:val="28"/>
          <w:szCs w:val="28"/>
        </w:rPr>
        <w:t>To the extent the alleged sexual harassment and misconduct falls outside of the Title IX definition of sexual harassment and/or falls outside of the geographic scope of Title IX, the Colle</w:t>
      </w:r>
      <w:r w:rsidR="004361E7">
        <w:rPr>
          <w:rFonts w:ascii="Arial" w:hAnsi="Arial" w:cs="Arial"/>
          <w:color w:val="000000"/>
          <w:sz w:val="28"/>
          <w:szCs w:val="28"/>
        </w:rPr>
        <w:t>g</w:t>
      </w:r>
      <w:r>
        <w:rPr>
          <w:rFonts w:ascii="Arial" w:hAnsi="Arial" w:cs="Arial"/>
          <w:color w:val="000000"/>
          <w:sz w:val="28"/>
          <w:szCs w:val="28"/>
        </w:rPr>
        <w:t>e reserves the right to investigate and adjudicate the alleged sexual harassment and misconduct under the Student Code of Conduct or other applicable Board policies and procedures.</w:t>
      </w:r>
    </w:p>
    <w:p w14:paraId="78E23610" w14:textId="20F70BBA" w:rsidR="00221444" w:rsidRDefault="005508AE" w:rsidP="005508AE">
      <w:pPr>
        <w:pStyle w:val="NormalWeb"/>
        <w:jc w:val="both"/>
        <w:rPr>
          <w:rFonts w:ascii="Arial" w:hAnsi="Arial" w:cs="Arial"/>
          <w:color w:val="000000"/>
          <w:sz w:val="28"/>
          <w:szCs w:val="28"/>
        </w:rPr>
      </w:pPr>
      <w:r>
        <w:rPr>
          <w:rFonts w:ascii="Arial" w:hAnsi="Arial" w:cs="Arial"/>
          <w:color w:val="000000"/>
          <w:sz w:val="28"/>
          <w:szCs w:val="28"/>
        </w:rPr>
        <w:t>For purposes of this policy, the following definitions apply:</w:t>
      </w:r>
    </w:p>
    <w:p w14:paraId="666DC980" w14:textId="053FC34A" w:rsidR="00454CFA" w:rsidRDefault="00454CFA" w:rsidP="005508AE">
      <w:pPr>
        <w:pStyle w:val="NormalWeb"/>
        <w:jc w:val="both"/>
        <w:rPr>
          <w:rFonts w:ascii="Arial" w:hAnsi="Arial" w:cs="Arial"/>
          <w:color w:val="000000"/>
          <w:sz w:val="28"/>
          <w:szCs w:val="28"/>
        </w:rPr>
      </w:pPr>
      <w:r w:rsidRPr="008C55AF">
        <w:rPr>
          <w:rFonts w:ascii="Arial" w:hAnsi="Arial" w:cs="Arial"/>
          <w:b/>
          <w:bCs/>
          <w:color w:val="000000"/>
          <w:sz w:val="28"/>
          <w:szCs w:val="28"/>
        </w:rPr>
        <w:t>Sexual Assault/Battery</w:t>
      </w:r>
      <w:r>
        <w:rPr>
          <w:rFonts w:ascii="Arial" w:hAnsi="Arial" w:cs="Arial"/>
          <w:color w:val="000000"/>
          <w:sz w:val="28"/>
          <w:szCs w:val="28"/>
        </w:rPr>
        <w:t xml:space="preserve">: </w:t>
      </w:r>
      <w:r w:rsidR="008C55AF">
        <w:rPr>
          <w:rFonts w:ascii="Arial" w:hAnsi="Arial" w:cs="Arial"/>
          <w:bCs/>
          <w:iCs/>
          <w:sz w:val="28"/>
          <w:szCs w:val="28"/>
        </w:rPr>
        <w:t>Sexual assault means an offense classified as a forcible or non-forcible sex offense under the uniform crime reporting system of the Federal Bureau of Investigation</w:t>
      </w:r>
      <w:proofErr w:type="gramStart"/>
      <w:r w:rsidR="008C55AF">
        <w:rPr>
          <w:rFonts w:ascii="Arial" w:hAnsi="Arial" w:cs="Arial"/>
          <w:bCs/>
          <w:iCs/>
          <w:sz w:val="28"/>
          <w:szCs w:val="28"/>
        </w:rPr>
        <w:t xml:space="preserve">.  </w:t>
      </w:r>
      <w:proofErr w:type="gramEnd"/>
      <w:r>
        <w:rPr>
          <w:rFonts w:ascii="Arial" w:hAnsi="Arial" w:cs="Arial"/>
          <w:color w:val="000000"/>
          <w:sz w:val="28"/>
          <w:szCs w:val="28"/>
        </w:rPr>
        <w:t xml:space="preserve">Sexual assault includes any sexual act directed against another person, without the consent of the victim, including instances where the victim is incapable of giving consent because </w:t>
      </w:r>
      <w:r>
        <w:rPr>
          <w:rFonts w:ascii="Arial" w:hAnsi="Arial" w:cs="Arial"/>
          <w:color w:val="000000"/>
          <w:sz w:val="28"/>
          <w:szCs w:val="28"/>
        </w:rPr>
        <w:lastRenderedPageBreak/>
        <w:t>of his/her age or because of his/her temporary or permanent mental or physical incapacity.</w:t>
      </w:r>
    </w:p>
    <w:p w14:paraId="7EDD3BC7" w14:textId="08B48591" w:rsidR="008C55AF" w:rsidRDefault="008C55AF" w:rsidP="00454CFA">
      <w:pPr>
        <w:pStyle w:val="BodyTextIndent"/>
        <w:tabs>
          <w:tab w:val="clear" w:pos="5040"/>
        </w:tabs>
        <w:spacing w:after="0" w:line="240" w:lineRule="auto"/>
        <w:ind w:left="0" w:firstLine="0"/>
        <w:rPr>
          <w:rFonts w:ascii="Arial" w:hAnsi="Arial" w:cs="Arial"/>
          <w:bCs/>
          <w:iCs/>
          <w:sz w:val="28"/>
          <w:szCs w:val="28"/>
        </w:rPr>
      </w:pPr>
      <w:r w:rsidRPr="008C55AF">
        <w:rPr>
          <w:rFonts w:ascii="Arial" w:hAnsi="Arial" w:cs="Arial"/>
          <w:b/>
          <w:iCs/>
          <w:sz w:val="28"/>
          <w:szCs w:val="28"/>
        </w:rPr>
        <w:t>Sexual Battery</w:t>
      </w:r>
      <w:r>
        <w:rPr>
          <w:rFonts w:ascii="Arial" w:hAnsi="Arial" w:cs="Arial"/>
          <w:bCs/>
          <w:iCs/>
          <w:sz w:val="28"/>
          <w:szCs w:val="28"/>
        </w:rPr>
        <w:t xml:space="preserve"> includes any offense involving oral, </w:t>
      </w:r>
      <w:proofErr w:type="gramStart"/>
      <w:r>
        <w:rPr>
          <w:rFonts w:ascii="Arial" w:hAnsi="Arial" w:cs="Arial"/>
          <w:bCs/>
          <w:iCs/>
          <w:sz w:val="28"/>
          <w:szCs w:val="28"/>
        </w:rPr>
        <w:t>anal</w:t>
      </w:r>
      <w:proofErr w:type="gramEnd"/>
      <w:r>
        <w:rPr>
          <w:rFonts w:ascii="Arial" w:hAnsi="Arial" w:cs="Arial"/>
          <w:bCs/>
          <w:iCs/>
          <w:sz w:val="28"/>
          <w:szCs w:val="28"/>
        </w:rPr>
        <w:t xml:space="preserve"> or vaginal penetration by, or union with, the sexual organ or another or the anal or vaginal penetration of another by any other object; however sexual </w:t>
      </w:r>
      <w:r w:rsidR="0048124C">
        <w:rPr>
          <w:rFonts w:ascii="Arial" w:hAnsi="Arial" w:cs="Arial"/>
          <w:bCs/>
          <w:iCs/>
          <w:sz w:val="28"/>
          <w:szCs w:val="28"/>
        </w:rPr>
        <w:t>battery</w:t>
      </w:r>
      <w:r>
        <w:rPr>
          <w:rFonts w:ascii="Arial" w:hAnsi="Arial" w:cs="Arial"/>
          <w:bCs/>
          <w:iCs/>
          <w:sz w:val="28"/>
          <w:szCs w:val="28"/>
        </w:rPr>
        <w:t xml:space="preserve"> does not include an act done for bona fide medical purpose</w:t>
      </w:r>
      <w:proofErr w:type="gramStart"/>
      <w:r>
        <w:rPr>
          <w:rFonts w:ascii="Arial" w:hAnsi="Arial" w:cs="Arial"/>
          <w:bCs/>
          <w:iCs/>
          <w:sz w:val="28"/>
          <w:szCs w:val="28"/>
        </w:rPr>
        <w:t xml:space="preserve">.  </w:t>
      </w:r>
      <w:proofErr w:type="gramEnd"/>
      <w:r>
        <w:rPr>
          <w:rFonts w:ascii="Arial" w:hAnsi="Arial" w:cs="Arial"/>
          <w:bCs/>
          <w:iCs/>
          <w:sz w:val="28"/>
          <w:szCs w:val="28"/>
        </w:rPr>
        <w:t>Sexual battery is an act performed against the victim’s will and consent</w:t>
      </w:r>
      <w:proofErr w:type="gramStart"/>
      <w:r>
        <w:rPr>
          <w:rFonts w:ascii="Arial" w:hAnsi="Arial" w:cs="Arial"/>
          <w:bCs/>
          <w:iCs/>
          <w:sz w:val="28"/>
          <w:szCs w:val="28"/>
        </w:rPr>
        <w:t xml:space="preserve">.  </w:t>
      </w:r>
      <w:proofErr w:type="gramEnd"/>
      <w:r>
        <w:rPr>
          <w:rFonts w:ascii="Arial" w:hAnsi="Arial" w:cs="Arial"/>
          <w:bCs/>
          <w:iCs/>
          <w:sz w:val="28"/>
          <w:szCs w:val="28"/>
        </w:rPr>
        <w:t xml:space="preserve">Sexual </w:t>
      </w:r>
      <w:r w:rsidR="0048124C">
        <w:rPr>
          <w:rFonts w:ascii="Arial" w:hAnsi="Arial" w:cs="Arial"/>
          <w:bCs/>
          <w:iCs/>
          <w:sz w:val="28"/>
          <w:szCs w:val="28"/>
        </w:rPr>
        <w:t>battery</w:t>
      </w:r>
      <w:r>
        <w:rPr>
          <w:rFonts w:ascii="Arial" w:hAnsi="Arial" w:cs="Arial"/>
          <w:bCs/>
          <w:iCs/>
          <w:sz w:val="28"/>
          <w:szCs w:val="28"/>
        </w:rPr>
        <w:t xml:space="preserve"> includes force that </w:t>
      </w:r>
      <w:r w:rsidR="004361E7">
        <w:rPr>
          <w:rFonts w:ascii="Arial" w:hAnsi="Arial" w:cs="Arial"/>
          <w:bCs/>
          <w:iCs/>
          <w:sz w:val="28"/>
          <w:szCs w:val="28"/>
        </w:rPr>
        <w:t>may</w:t>
      </w:r>
      <w:r>
        <w:rPr>
          <w:rFonts w:ascii="Arial" w:hAnsi="Arial" w:cs="Arial"/>
          <w:bCs/>
          <w:iCs/>
          <w:sz w:val="28"/>
          <w:szCs w:val="28"/>
        </w:rPr>
        <w:t xml:space="preserve"> involve physical violence, coercion, </w:t>
      </w:r>
      <w:proofErr w:type="gramStart"/>
      <w:r>
        <w:rPr>
          <w:rFonts w:ascii="Arial" w:hAnsi="Arial" w:cs="Arial"/>
          <w:bCs/>
          <w:iCs/>
          <w:sz w:val="28"/>
          <w:szCs w:val="28"/>
        </w:rPr>
        <w:t>threat</w:t>
      </w:r>
      <w:proofErr w:type="gramEnd"/>
      <w:r>
        <w:rPr>
          <w:rFonts w:ascii="Arial" w:hAnsi="Arial" w:cs="Arial"/>
          <w:bCs/>
          <w:iCs/>
          <w:sz w:val="28"/>
          <w:szCs w:val="28"/>
        </w:rPr>
        <w:t xml:space="preserve"> or harm.</w:t>
      </w:r>
    </w:p>
    <w:p w14:paraId="4B97E5D0" w14:textId="77777777" w:rsidR="008C55AF" w:rsidRDefault="008C55AF" w:rsidP="00454CFA">
      <w:pPr>
        <w:pStyle w:val="BodyTextIndent"/>
        <w:tabs>
          <w:tab w:val="clear" w:pos="5040"/>
        </w:tabs>
        <w:spacing w:after="0" w:line="240" w:lineRule="auto"/>
        <w:ind w:left="0" w:firstLine="0"/>
        <w:rPr>
          <w:rFonts w:ascii="Arial" w:hAnsi="Arial" w:cs="Arial"/>
          <w:bCs/>
          <w:iCs/>
          <w:sz w:val="28"/>
          <w:szCs w:val="28"/>
        </w:rPr>
      </w:pPr>
    </w:p>
    <w:p w14:paraId="084EB2B6" w14:textId="7BAAF091" w:rsidR="008C55AF" w:rsidRDefault="008C55AF" w:rsidP="008C55AF">
      <w:pPr>
        <w:pStyle w:val="BodyTextIndent"/>
        <w:tabs>
          <w:tab w:val="clear" w:pos="5040"/>
        </w:tabs>
        <w:spacing w:after="0" w:line="240" w:lineRule="auto"/>
        <w:ind w:left="0" w:firstLine="0"/>
        <w:rPr>
          <w:rFonts w:ascii="Arial" w:hAnsi="Arial" w:cs="Arial"/>
          <w:bCs/>
          <w:iCs/>
          <w:sz w:val="28"/>
          <w:szCs w:val="28"/>
        </w:rPr>
      </w:pPr>
      <w:r w:rsidRPr="00D63336">
        <w:rPr>
          <w:rFonts w:ascii="Arial" w:hAnsi="Arial" w:cs="Arial"/>
          <w:b/>
          <w:iCs/>
          <w:sz w:val="28"/>
          <w:szCs w:val="28"/>
        </w:rPr>
        <w:t>Domestic Violence</w:t>
      </w:r>
      <w:r>
        <w:rPr>
          <w:rFonts w:ascii="Arial" w:hAnsi="Arial" w:cs="Arial"/>
          <w:bCs/>
          <w:iCs/>
          <w:sz w:val="28"/>
          <w:szCs w:val="28"/>
        </w:rPr>
        <w:t xml:space="preserve"> includes felony or misdemeanor crimes of violence committed by a current or former spouse</w:t>
      </w:r>
      <w:r w:rsidR="00D63336">
        <w:rPr>
          <w:rFonts w:ascii="Arial" w:hAnsi="Arial" w:cs="Arial"/>
          <w:bCs/>
          <w:iCs/>
          <w:sz w:val="28"/>
          <w:szCs w:val="28"/>
        </w:rPr>
        <w:t xml:space="preserve"> or intimate partner</w:t>
      </w:r>
      <w:r>
        <w:rPr>
          <w:rFonts w:ascii="Arial" w:hAnsi="Arial" w:cs="Arial"/>
          <w:bCs/>
          <w:iCs/>
          <w:sz w:val="28"/>
          <w:szCs w:val="28"/>
        </w:rPr>
        <w:t xml:space="preserve"> of the victim, by a person with whom the victim shares a child in common, by a person who is cohabitating with or has cohabitated with the victim as a spouse</w:t>
      </w:r>
      <w:r w:rsidR="00D63336">
        <w:rPr>
          <w:rFonts w:ascii="Arial" w:hAnsi="Arial" w:cs="Arial"/>
          <w:bCs/>
          <w:iCs/>
          <w:sz w:val="28"/>
          <w:szCs w:val="28"/>
        </w:rPr>
        <w:t xml:space="preserve"> or intimate partner</w:t>
      </w:r>
      <w:r>
        <w:rPr>
          <w:rFonts w:ascii="Arial" w:hAnsi="Arial" w:cs="Arial"/>
          <w:bCs/>
          <w:iCs/>
          <w:sz w:val="28"/>
          <w:szCs w:val="28"/>
        </w:rPr>
        <w:t>, by a person similarly situated to a spouse of the victim under the domestic or family violence laws, or by any person against an adult or youth victim who is protected from that person’s acts under the domestic or family violence laws.</w:t>
      </w:r>
    </w:p>
    <w:p w14:paraId="28F1FB62" w14:textId="4E2AB174" w:rsidR="00454CFA" w:rsidRDefault="00454CFA" w:rsidP="00454CFA">
      <w:pPr>
        <w:pStyle w:val="BodyTextIndent"/>
        <w:tabs>
          <w:tab w:val="clear" w:pos="5040"/>
        </w:tabs>
        <w:spacing w:after="0" w:line="240" w:lineRule="auto"/>
        <w:ind w:left="0" w:firstLine="0"/>
        <w:rPr>
          <w:rFonts w:ascii="Arial" w:hAnsi="Arial" w:cs="Arial"/>
          <w:bCs/>
          <w:iCs/>
          <w:sz w:val="28"/>
          <w:szCs w:val="28"/>
        </w:rPr>
      </w:pPr>
    </w:p>
    <w:p w14:paraId="4A54ACDF" w14:textId="3EECF1DF" w:rsidR="00D63336" w:rsidRDefault="00D63336" w:rsidP="00D63336">
      <w:pPr>
        <w:pStyle w:val="BodyTextIndent"/>
        <w:tabs>
          <w:tab w:val="clear" w:pos="5040"/>
        </w:tabs>
        <w:spacing w:after="0" w:line="240" w:lineRule="auto"/>
        <w:ind w:left="0" w:firstLine="0"/>
        <w:rPr>
          <w:rFonts w:ascii="Arial" w:hAnsi="Arial" w:cs="Arial"/>
          <w:bCs/>
          <w:iCs/>
          <w:sz w:val="28"/>
          <w:szCs w:val="28"/>
        </w:rPr>
      </w:pPr>
      <w:r w:rsidRPr="005508AE">
        <w:rPr>
          <w:rFonts w:ascii="Arial" w:hAnsi="Arial" w:cs="Arial"/>
          <w:b/>
          <w:iCs/>
          <w:sz w:val="28"/>
          <w:szCs w:val="28"/>
        </w:rPr>
        <w:t>Dating Violence</w:t>
      </w:r>
      <w:r>
        <w:rPr>
          <w:rFonts w:ascii="Arial" w:hAnsi="Arial" w:cs="Arial"/>
          <w:bCs/>
          <w:iCs/>
          <w:sz w:val="28"/>
          <w:szCs w:val="28"/>
        </w:rPr>
        <w:t>: Dating violence includes violence (violence includes, but is not limited to sexual or physical abuse or the threat of such abuse) committed by a person who is or has been in a social relationship of a romantic or intimate nature with the victim and where the existence of such a relationship shall be determined based on a consideration of the following factors: the length of the relationship, the type of relationship, and the frequency of interaction between the persons involved in the relationship.  Dating violence can occur when one person purposely hurts or scares someone they are dating</w:t>
      </w:r>
      <w:proofErr w:type="gramStart"/>
      <w:r>
        <w:rPr>
          <w:rFonts w:ascii="Arial" w:hAnsi="Arial" w:cs="Arial"/>
          <w:bCs/>
          <w:iCs/>
          <w:sz w:val="28"/>
          <w:szCs w:val="28"/>
        </w:rPr>
        <w:t xml:space="preserve">.  </w:t>
      </w:r>
      <w:proofErr w:type="gramEnd"/>
      <w:r>
        <w:rPr>
          <w:rFonts w:ascii="Arial" w:hAnsi="Arial" w:cs="Arial"/>
          <w:bCs/>
          <w:iCs/>
          <w:sz w:val="28"/>
          <w:szCs w:val="28"/>
        </w:rPr>
        <w:t>Dating violence can be physical, emotional, and/or sexual abuse.</w:t>
      </w:r>
    </w:p>
    <w:p w14:paraId="177255C6" w14:textId="77777777" w:rsidR="00D63336" w:rsidRDefault="00D63336" w:rsidP="00454CFA">
      <w:pPr>
        <w:pStyle w:val="BodyTextIndent"/>
        <w:tabs>
          <w:tab w:val="clear" w:pos="5040"/>
        </w:tabs>
        <w:spacing w:after="0" w:line="240" w:lineRule="auto"/>
        <w:ind w:left="0" w:firstLine="0"/>
        <w:rPr>
          <w:rFonts w:ascii="Arial" w:hAnsi="Arial" w:cs="Arial"/>
          <w:bCs/>
          <w:iCs/>
          <w:sz w:val="28"/>
          <w:szCs w:val="28"/>
        </w:rPr>
      </w:pPr>
    </w:p>
    <w:p w14:paraId="046D95ED" w14:textId="77B85633" w:rsidR="00D63336" w:rsidRPr="001D5CBE" w:rsidRDefault="00D63336" w:rsidP="00454CFA">
      <w:pPr>
        <w:pStyle w:val="BodyTextIndent"/>
        <w:tabs>
          <w:tab w:val="clear" w:pos="5040"/>
        </w:tabs>
        <w:spacing w:after="0" w:line="240" w:lineRule="auto"/>
        <w:ind w:left="0" w:firstLine="0"/>
        <w:rPr>
          <w:rFonts w:ascii="Arial" w:hAnsi="Arial" w:cs="Arial"/>
          <w:bCs/>
          <w:iCs/>
          <w:sz w:val="28"/>
          <w:szCs w:val="28"/>
        </w:rPr>
      </w:pPr>
      <w:r w:rsidRPr="00D63336">
        <w:rPr>
          <w:rFonts w:ascii="Arial" w:hAnsi="Arial" w:cs="Arial"/>
          <w:b/>
          <w:iCs/>
          <w:sz w:val="28"/>
          <w:szCs w:val="28"/>
        </w:rPr>
        <w:t>Stalking</w:t>
      </w:r>
      <w:r w:rsidR="001D5CBE">
        <w:rPr>
          <w:rFonts w:ascii="Arial" w:hAnsi="Arial" w:cs="Arial"/>
          <w:b/>
          <w:iCs/>
          <w:sz w:val="28"/>
          <w:szCs w:val="28"/>
        </w:rPr>
        <w:t xml:space="preserve"> </w:t>
      </w:r>
      <w:r w:rsidR="001D5CBE">
        <w:rPr>
          <w:rFonts w:ascii="Arial" w:hAnsi="Arial" w:cs="Arial"/>
          <w:bCs/>
          <w:iCs/>
          <w:sz w:val="28"/>
          <w:szCs w:val="28"/>
        </w:rPr>
        <w:t>includes engaging in a course of conduct directed at a specific person that would cause a reasonable person to fear for that individual’s safety or the safety of others or suffer substantial emotional distress</w:t>
      </w:r>
      <w:proofErr w:type="gramStart"/>
      <w:r w:rsidR="001D5CBE">
        <w:rPr>
          <w:rFonts w:ascii="Arial" w:hAnsi="Arial" w:cs="Arial"/>
          <w:bCs/>
          <w:iCs/>
          <w:sz w:val="28"/>
          <w:szCs w:val="28"/>
        </w:rPr>
        <w:t xml:space="preserve">.  </w:t>
      </w:r>
      <w:proofErr w:type="gramEnd"/>
      <w:r w:rsidR="001D5CBE">
        <w:rPr>
          <w:rFonts w:ascii="Arial" w:hAnsi="Arial" w:cs="Arial"/>
          <w:bCs/>
          <w:iCs/>
          <w:sz w:val="28"/>
          <w:szCs w:val="28"/>
        </w:rPr>
        <w:t xml:space="preserve">Examples include, but </w:t>
      </w:r>
      <w:proofErr w:type="gramStart"/>
      <w:r w:rsidR="001D5CBE">
        <w:rPr>
          <w:rFonts w:ascii="Arial" w:hAnsi="Arial" w:cs="Arial"/>
          <w:bCs/>
          <w:iCs/>
          <w:sz w:val="28"/>
          <w:szCs w:val="28"/>
        </w:rPr>
        <w:t>are not limited</w:t>
      </w:r>
      <w:proofErr w:type="gramEnd"/>
      <w:r w:rsidR="001D5CBE">
        <w:rPr>
          <w:rFonts w:ascii="Arial" w:hAnsi="Arial" w:cs="Arial"/>
          <w:bCs/>
          <w:iCs/>
          <w:sz w:val="28"/>
          <w:szCs w:val="28"/>
        </w:rPr>
        <w:t xml:space="preserve"> to, willfully, maliciously, and repeatedly following, harassing, or cyberstalking another person where the victim </w:t>
      </w:r>
      <w:proofErr w:type="gramStart"/>
      <w:r w:rsidR="001D5CBE">
        <w:rPr>
          <w:rFonts w:ascii="Arial" w:hAnsi="Arial" w:cs="Arial"/>
          <w:bCs/>
          <w:iCs/>
          <w:sz w:val="28"/>
          <w:szCs w:val="28"/>
        </w:rPr>
        <w:t>was targeted</w:t>
      </w:r>
      <w:proofErr w:type="gramEnd"/>
      <w:r w:rsidR="001D5CBE">
        <w:rPr>
          <w:rFonts w:ascii="Arial" w:hAnsi="Arial" w:cs="Arial"/>
          <w:bCs/>
          <w:iCs/>
          <w:sz w:val="28"/>
          <w:szCs w:val="28"/>
        </w:rPr>
        <w:t xml:space="preserve"> due to his or her sex/gender, sexual orientation, or gender identity.</w:t>
      </w:r>
    </w:p>
    <w:p w14:paraId="7BE282B2" w14:textId="77777777" w:rsidR="00D63336" w:rsidRDefault="00D63336" w:rsidP="00454CFA">
      <w:pPr>
        <w:pStyle w:val="BodyTextIndent"/>
        <w:tabs>
          <w:tab w:val="clear" w:pos="5040"/>
        </w:tabs>
        <w:spacing w:after="0" w:line="240" w:lineRule="auto"/>
        <w:ind w:left="0" w:firstLine="0"/>
        <w:rPr>
          <w:rFonts w:ascii="Arial" w:hAnsi="Arial" w:cs="Arial"/>
          <w:b/>
          <w:iCs/>
          <w:sz w:val="28"/>
          <w:szCs w:val="28"/>
        </w:rPr>
      </w:pPr>
    </w:p>
    <w:p w14:paraId="56B87E00" w14:textId="0FA1F89E" w:rsidR="00D63336" w:rsidRPr="001D5CBE" w:rsidRDefault="00D63336" w:rsidP="00454CFA">
      <w:pPr>
        <w:pStyle w:val="BodyTextIndent"/>
        <w:tabs>
          <w:tab w:val="clear" w:pos="5040"/>
        </w:tabs>
        <w:spacing w:after="0" w:line="240" w:lineRule="auto"/>
        <w:ind w:left="0" w:firstLine="0"/>
        <w:rPr>
          <w:rFonts w:ascii="Arial" w:hAnsi="Arial" w:cs="Arial"/>
          <w:bCs/>
          <w:iCs/>
          <w:sz w:val="28"/>
          <w:szCs w:val="28"/>
        </w:rPr>
      </w:pPr>
      <w:r>
        <w:rPr>
          <w:rFonts w:ascii="Arial" w:hAnsi="Arial" w:cs="Arial"/>
          <w:b/>
          <w:iCs/>
          <w:sz w:val="28"/>
          <w:szCs w:val="28"/>
        </w:rPr>
        <w:lastRenderedPageBreak/>
        <w:t>Exhibitionism</w:t>
      </w:r>
      <w:r w:rsidR="001D5CBE">
        <w:rPr>
          <w:rFonts w:ascii="Arial" w:hAnsi="Arial" w:cs="Arial"/>
          <w:b/>
          <w:iCs/>
          <w:sz w:val="28"/>
          <w:szCs w:val="28"/>
        </w:rPr>
        <w:t xml:space="preserve"> </w:t>
      </w:r>
      <w:r w:rsidR="001D5CBE">
        <w:rPr>
          <w:rFonts w:ascii="Arial" w:hAnsi="Arial" w:cs="Arial"/>
          <w:bCs/>
          <w:iCs/>
          <w:sz w:val="28"/>
          <w:szCs w:val="28"/>
        </w:rPr>
        <w:t>includes exposing or exhibiting sexual organs in any public place or on the private premises of another, or so near thereto as to be seen from such private premises, in a vulgar or incident manner, or so to expose or exhibit his or her person in such place, or to go or be naked in such place.</w:t>
      </w:r>
    </w:p>
    <w:p w14:paraId="1E345934" w14:textId="77777777" w:rsidR="00D63336" w:rsidRDefault="00D63336" w:rsidP="00454CFA">
      <w:pPr>
        <w:pStyle w:val="BodyTextIndent"/>
        <w:tabs>
          <w:tab w:val="clear" w:pos="5040"/>
        </w:tabs>
        <w:spacing w:after="0" w:line="240" w:lineRule="auto"/>
        <w:ind w:left="0" w:firstLine="0"/>
        <w:rPr>
          <w:rFonts w:ascii="Arial" w:hAnsi="Arial" w:cs="Arial"/>
          <w:b/>
          <w:iCs/>
          <w:sz w:val="28"/>
          <w:szCs w:val="28"/>
        </w:rPr>
      </w:pPr>
    </w:p>
    <w:p w14:paraId="427C72E3" w14:textId="0AA02A70" w:rsidR="00D63336" w:rsidRDefault="00D63336" w:rsidP="00454CFA">
      <w:pPr>
        <w:pStyle w:val="BodyTextIndent"/>
        <w:tabs>
          <w:tab w:val="clear" w:pos="5040"/>
        </w:tabs>
        <w:spacing w:after="0" w:line="240" w:lineRule="auto"/>
        <w:ind w:left="0" w:firstLine="0"/>
        <w:rPr>
          <w:rFonts w:ascii="Arial" w:hAnsi="Arial" w:cs="Arial"/>
          <w:b/>
          <w:iCs/>
          <w:sz w:val="28"/>
          <w:szCs w:val="28"/>
        </w:rPr>
      </w:pPr>
      <w:r>
        <w:rPr>
          <w:rFonts w:ascii="Arial" w:hAnsi="Arial" w:cs="Arial"/>
          <w:b/>
          <w:iCs/>
          <w:sz w:val="28"/>
          <w:szCs w:val="28"/>
        </w:rPr>
        <w:t>Voyeurism</w:t>
      </w:r>
      <w:r w:rsidR="00AD4604">
        <w:rPr>
          <w:rFonts w:ascii="Arial" w:hAnsi="Arial" w:cs="Arial"/>
          <w:b/>
          <w:iCs/>
          <w:sz w:val="28"/>
          <w:szCs w:val="28"/>
        </w:rPr>
        <w:t xml:space="preserve"> </w:t>
      </w:r>
      <w:r w:rsidR="0062146E" w:rsidRPr="0062146E">
        <w:rPr>
          <w:rFonts w:ascii="Arial" w:hAnsi="Arial" w:cs="Arial"/>
          <w:bCs/>
          <w:iCs/>
          <w:sz w:val="28"/>
          <w:szCs w:val="28"/>
        </w:rPr>
        <w:t xml:space="preserve">is the condition of one who derives sexual satisfaction from observing the sexual organs or acts of others </w:t>
      </w:r>
      <w:proofErr w:type="gramStart"/>
      <w:r w:rsidR="0062146E" w:rsidRPr="0062146E">
        <w:rPr>
          <w:rFonts w:ascii="Arial" w:hAnsi="Arial" w:cs="Arial"/>
          <w:bCs/>
          <w:iCs/>
          <w:sz w:val="28"/>
          <w:szCs w:val="28"/>
        </w:rPr>
        <w:t>generally from</w:t>
      </w:r>
      <w:proofErr w:type="gramEnd"/>
      <w:r w:rsidR="0062146E" w:rsidRPr="0062146E">
        <w:rPr>
          <w:rFonts w:ascii="Arial" w:hAnsi="Arial" w:cs="Arial"/>
          <w:bCs/>
          <w:iCs/>
          <w:sz w:val="28"/>
          <w:szCs w:val="28"/>
        </w:rPr>
        <w:t xml:space="preserve"> a secret vantage point.</w:t>
      </w:r>
    </w:p>
    <w:p w14:paraId="77B64536" w14:textId="77777777" w:rsidR="00D63336" w:rsidRDefault="00D63336" w:rsidP="00454CFA">
      <w:pPr>
        <w:pStyle w:val="BodyTextIndent"/>
        <w:tabs>
          <w:tab w:val="clear" w:pos="5040"/>
        </w:tabs>
        <w:spacing w:after="0" w:line="240" w:lineRule="auto"/>
        <w:ind w:left="0" w:firstLine="0"/>
        <w:rPr>
          <w:rFonts w:ascii="Arial" w:hAnsi="Arial" w:cs="Arial"/>
          <w:b/>
          <w:iCs/>
          <w:sz w:val="28"/>
          <w:szCs w:val="28"/>
        </w:rPr>
      </w:pPr>
    </w:p>
    <w:p w14:paraId="1AC04F52" w14:textId="26A9895A" w:rsidR="00D63336" w:rsidRDefault="00D63336" w:rsidP="00454CFA">
      <w:pPr>
        <w:pStyle w:val="BodyTextIndent"/>
        <w:tabs>
          <w:tab w:val="clear" w:pos="5040"/>
        </w:tabs>
        <w:spacing w:after="0" w:line="240" w:lineRule="auto"/>
        <w:ind w:left="0" w:firstLine="0"/>
        <w:rPr>
          <w:rFonts w:ascii="Arial" w:hAnsi="Arial" w:cs="Arial"/>
          <w:bCs/>
          <w:iCs/>
          <w:sz w:val="28"/>
          <w:szCs w:val="28"/>
        </w:rPr>
      </w:pPr>
      <w:r>
        <w:rPr>
          <w:rFonts w:ascii="Arial" w:hAnsi="Arial" w:cs="Arial"/>
          <w:b/>
          <w:iCs/>
          <w:sz w:val="28"/>
          <w:szCs w:val="28"/>
        </w:rPr>
        <w:t>Sexual Exploitation</w:t>
      </w:r>
      <w:r w:rsidR="0062146E">
        <w:rPr>
          <w:rFonts w:ascii="Arial" w:hAnsi="Arial" w:cs="Arial"/>
          <w:b/>
          <w:iCs/>
          <w:sz w:val="28"/>
          <w:szCs w:val="28"/>
        </w:rPr>
        <w:t xml:space="preserve"> </w:t>
      </w:r>
      <w:r w:rsidR="0062146E">
        <w:rPr>
          <w:rFonts w:ascii="Arial" w:hAnsi="Arial" w:cs="Arial"/>
          <w:bCs/>
          <w:iCs/>
          <w:sz w:val="28"/>
          <w:szCs w:val="28"/>
        </w:rPr>
        <w:t xml:space="preserve">is conduct that involves taking sexual advantage of another person without consent, which includes but </w:t>
      </w:r>
      <w:proofErr w:type="gramStart"/>
      <w:r w:rsidR="0062146E">
        <w:rPr>
          <w:rFonts w:ascii="Arial" w:hAnsi="Arial" w:cs="Arial"/>
          <w:bCs/>
          <w:iCs/>
          <w:sz w:val="28"/>
          <w:szCs w:val="28"/>
        </w:rPr>
        <w:t>is not limited</w:t>
      </w:r>
      <w:proofErr w:type="gramEnd"/>
      <w:r w:rsidR="0062146E">
        <w:rPr>
          <w:rFonts w:ascii="Arial" w:hAnsi="Arial" w:cs="Arial"/>
          <w:bCs/>
          <w:iCs/>
          <w:sz w:val="28"/>
          <w:szCs w:val="28"/>
        </w:rPr>
        <w:t xml:space="preserve"> to the use of a person in prostitution, </w:t>
      </w:r>
      <w:proofErr w:type="gramStart"/>
      <w:r w:rsidR="0062146E">
        <w:rPr>
          <w:rFonts w:ascii="Arial" w:hAnsi="Arial" w:cs="Arial"/>
          <w:bCs/>
          <w:iCs/>
          <w:sz w:val="28"/>
          <w:szCs w:val="28"/>
        </w:rPr>
        <w:t>pornography</w:t>
      </w:r>
      <w:proofErr w:type="gramEnd"/>
      <w:r w:rsidR="0062146E">
        <w:rPr>
          <w:rFonts w:ascii="Arial" w:hAnsi="Arial" w:cs="Arial"/>
          <w:bCs/>
          <w:iCs/>
          <w:sz w:val="28"/>
          <w:szCs w:val="28"/>
        </w:rPr>
        <w:t xml:space="preserve"> or other sexually manipulative activity.</w:t>
      </w:r>
    </w:p>
    <w:p w14:paraId="14D87510" w14:textId="77777777" w:rsidR="0062146E" w:rsidRDefault="0062146E" w:rsidP="00454CFA">
      <w:pPr>
        <w:pStyle w:val="BodyTextIndent"/>
        <w:tabs>
          <w:tab w:val="clear" w:pos="5040"/>
        </w:tabs>
        <w:spacing w:after="0" w:line="240" w:lineRule="auto"/>
        <w:ind w:left="0" w:firstLine="0"/>
        <w:rPr>
          <w:rFonts w:ascii="Arial" w:hAnsi="Arial" w:cs="Arial"/>
          <w:bCs/>
          <w:iCs/>
          <w:sz w:val="28"/>
          <w:szCs w:val="28"/>
        </w:rPr>
      </w:pPr>
    </w:p>
    <w:p w14:paraId="24E6B753" w14:textId="52D1034F" w:rsidR="0062146E" w:rsidRDefault="0062146E" w:rsidP="00454CFA">
      <w:pPr>
        <w:pStyle w:val="BodyTextIndent"/>
        <w:tabs>
          <w:tab w:val="clear" w:pos="5040"/>
        </w:tabs>
        <w:spacing w:after="0" w:line="240" w:lineRule="auto"/>
        <w:ind w:left="0" w:firstLine="0"/>
        <w:rPr>
          <w:rFonts w:ascii="Arial" w:hAnsi="Arial" w:cs="Arial"/>
          <w:bCs/>
          <w:iCs/>
          <w:sz w:val="28"/>
          <w:szCs w:val="28"/>
        </w:rPr>
      </w:pPr>
      <w:r w:rsidRPr="0062146E">
        <w:rPr>
          <w:rFonts w:ascii="Arial" w:hAnsi="Arial" w:cs="Arial"/>
          <w:b/>
          <w:iCs/>
          <w:sz w:val="28"/>
          <w:szCs w:val="28"/>
        </w:rPr>
        <w:t>Consent</w:t>
      </w:r>
      <w:r>
        <w:rPr>
          <w:rFonts w:ascii="Arial" w:hAnsi="Arial" w:cs="Arial"/>
          <w:bCs/>
          <w:iCs/>
          <w:sz w:val="28"/>
          <w:szCs w:val="28"/>
        </w:rPr>
        <w:t xml:space="preserve"> means the intelligent, </w:t>
      </w:r>
      <w:proofErr w:type="gramStart"/>
      <w:r>
        <w:rPr>
          <w:rFonts w:ascii="Arial" w:hAnsi="Arial" w:cs="Arial"/>
          <w:bCs/>
          <w:iCs/>
          <w:sz w:val="28"/>
          <w:szCs w:val="28"/>
        </w:rPr>
        <w:t>knowing</w:t>
      </w:r>
      <w:proofErr w:type="gramEnd"/>
      <w:r>
        <w:rPr>
          <w:rFonts w:ascii="Arial" w:hAnsi="Arial" w:cs="Arial"/>
          <w:bCs/>
          <w:iCs/>
          <w:sz w:val="28"/>
          <w:szCs w:val="28"/>
        </w:rPr>
        <w:t xml:space="preserve"> and voluntary consent and does not include coerced submission</w:t>
      </w:r>
      <w:proofErr w:type="gramStart"/>
      <w:r>
        <w:rPr>
          <w:rFonts w:ascii="Arial" w:hAnsi="Arial" w:cs="Arial"/>
          <w:bCs/>
          <w:iCs/>
          <w:sz w:val="28"/>
          <w:szCs w:val="28"/>
        </w:rPr>
        <w:t xml:space="preserve">.  </w:t>
      </w:r>
      <w:proofErr w:type="gramEnd"/>
      <w:r>
        <w:rPr>
          <w:rFonts w:ascii="Arial" w:hAnsi="Arial" w:cs="Arial"/>
          <w:bCs/>
          <w:iCs/>
          <w:sz w:val="28"/>
          <w:szCs w:val="28"/>
        </w:rPr>
        <w:t xml:space="preserve">Consent shall not </w:t>
      </w:r>
      <w:proofErr w:type="gramStart"/>
      <w:r>
        <w:rPr>
          <w:rFonts w:ascii="Arial" w:hAnsi="Arial" w:cs="Arial"/>
          <w:bCs/>
          <w:iCs/>
          <w:sz w:val="28"/>
          <w:szCs w:val="28"/>
        </w:rPr>
        <w:t>be deemed</w:t>
      </w:r>
      <w:proofErr w:type="gramEnd"/>
      <w:r>
        <w:rPr>
          <w:rFonts w:ascii="Arial" w:hAnsi="Arial" w:cs="Arial"/>
          <w:bCs/>
          <w:iCs/>
          <w:sz w:val="28"/>
          <w:szCs w:val="28"/>
        </w:rPr>
        <w:t xml:space="preserve"> or construed to mean the failure by the alleged victim to offer physical resistance to the offender</w:t>
      </w:r>
      <w:proofErr w:type="gramStart"/>
      <w:r>
        <w:rPr>
          <w:rFonts w:ascii="Arial" w:hAnsi="Arial" w:cs="Arial"/>
          <w:bCs/>
          <w:iCs/>
          <w:sz w:val="28"/>
          <w:szCs w:val="28"/>
        </w:rPr>
        <w:t xml:space="preserve">.  </w:t>
      </w:r>
      <w:proofErr w:type="gramEnd"/>
      <w:r>
        <w:rPr>
          <w:rFonts w:ascii="Arial" w:hAnsi="Arial" w:cs="Arial"/>
          <w:bCs/>
          <w:iCs/>
          <w:sz w:val="28"/>
          <w:szCs w:val="28"/>
        </w:rPr>
        <w:t>Lack of protest or resistance does not mean Consent, nor does silence mean that Consent has been granted</w:t>
      </w:r>
      <w:proofErr w:type="gramStart"/>
      <w:r>
        <w:rPr>
          <w:rFonts w:ascii="Arial" w:hAnsi="Arial" w:cs="Arial"/>
          <w:bCs/>
          <w:iCs/>
          <w:sz w:val="28"/>
          <w:szCs w:val="28"/>
        </w:rPr>
        <w:t xml:space="preserve">.  </w:t>
      </w:r>
      <w:proofErr w:type="gramEnd"/>
      <w:r>
        <w:rPr>
          <w:rFonts w:ascii="Arial" w:hAnsi="Arial" w:cs="Arial"/>
          <w:bCs/>
          <w:iCs/>
          <w:sz w:val="28"/>
          <w:szCs w:val="28"/>
        </w:rPr>
        <w:t xml:space="preserve">Consent cannot </w:t>
      </w:r>
      <w:proofErr w:type="gramStart"/>
      <w:r>
        <w:rPr>
          <w:rFonts w:ascii="Arial" w:hAnsi="Arial" w:cs="Arial"/>
          <w:bCs/>
          <w:iCs/>
          <w:sz w:val="28"/>
          <w:szCs w:val="28"/>
        </w:rPr>
        <w:t>be granted</w:t>
      </w:r>
      <w:proofErr w:type="gramEnd"/>
      <w:r>
        <w:rPr>
          <w:rFonts w:ascii="Arial" w:hAnsi="Arial" w:cs="Arial"/>
          <w:bCs/>
          <w:iCs/>
          <w:sz w:val="28"/>
          <w:szCs w:val="28"/>
        </w:rPr>
        <w:t xml:space="preserve"> by someone who is mentally defective, mentally incapacitated, or physically helpless.</w:t>
      </w:r>
    </w:p>
    <w:p w14:paraId="4F025F51" w14:textId="77777777" w:rsidR="0062146E" w:rsidRDefault="0062146E" w:rsidP="00454CFA">
      <w:pPr>
        <w:pStyle w:val="BodyTextIndent"/>
        <w:tabs>
          <w:tab w:val="clear" w:pos="5040"/>
        </w:tabs>
        <w:spacing w:after="0" w:line="240" w:lineRule="auto"/>
        <w:ind w:left="0" w:firstLine="0"/>
        <w:rPr>
          <w:rFonts w:ascii="Arial" w:hAnsi="Arial" w:cs="Arial"/>
          <w:bCs/>
          <w:iCs/>
          <w:sz w:val="28"/>
          <w:szCs w:val="28"/>
        </w:rPr>
      </w:pPr>
    </w:p>
    <w:p w14:paraId="53ACD762" w14:textId="4A04C8CC" w:rsidR="0062146E" w:rsidRDefault="0062146E" w:rsidP="00454CFA">
      <w:pPr>
        <w:pStyle w:val="BodyTextIndent"/>
        <w:tabs>
          <w:tab w:val="clear" w:pos="5040"/>
        </w:tabs>
        <w:spacing w:after="0" w:line="240" w:lineRule="auto"/>
        <w:ind w:left="0" w:firstLine="0"/>
        <w:rPr>
          <w:rFonts w:ascii="Arial" w:hAnsi="Arial" w:cs="Arial"/>
          <w:bCs/>
          <w:iCs/>
          <w:sz w:val="28"/>
          <w:szCs w:val="28"/>
        </w:rPr>
      </w:pPr>
      <w:r w:rsidRPr="00D369F4">
        <w:rPr>
          <w:rFonts w:ascii="Arial" w:hAnsi="Arial" w:cs="Arial"/>
          <w:b/>
          <w:iCs/>
          <w:sz w:val="28"/>
          <w:szCs w:val="28"/>
        </w:rPr>
        <w:t>Retaliation</w:t>
      </w:r>
      <w:r>
        <w:rPr>
          <w:rFonts w:ascii="Arial" w:hAnsi="Arial" w:cs="Arial"/>
          <w:bCs/>
          <w:iCs/>
          <w:sz w:val="28"/>
          <w:szCs w:val="28"/>
        </w:rPr>
        <w:t xml:space="preserve"> includes</w:t>
      </w:r>
      <w:r w:rsidR="0048124C">
        <w:rPr>
          <w:rFonts w:ascii="Arial" w:hAnsi="Arial" w:cs="Arial"/>
          <w:bCs/>
          <w:iCs/>
          <w:sz w:val="28"/>
          <w:szCs w:val="28"/>
        </w:rPr>
        <w:t>,</w:t>
      </w:r>
      <w:r>
        <w:rPr>
          <w:rFonts w:ascii="Arial" w:hAnsi="Arial" w:cs="Arial"/>
          <w:bCs/>
          <w:iCs/>
          <w:sz w:val="28"/>
          <w:szCs w:val="28"/>
        </w:rPr>
        <w:t xml:space="preserve"> but i</w:t>
      </w:r>
      <w:r w:rsidR="0048124C">
        <w:rPr>
          <w:rFonts w:ascii="Arial" w:hAnsi="Arial" w:cs="Arial"/>
          <w:bCs/>
          <w:iCs/>
          <w:sz w:val="28"/>
          <w:szCs w:val="28"/>
        </w:rPr>
        <w:t>s</w:t>
      </w:r>
      <w:r>
        <w:rPr>
          <w:rFonts w:ascii="Arial" w:hAnsi="Arial" w:cs="Arial"/>
          <w:bCs/>
          <w:iCs/>
          <w:sz w:val="28"/>
          <w:szCs w:val="28"/>
        </w:rPr>
        <w:t xml:space="preserve"> not limited to</w:t>
      </w:r>
      <w:r w:rsidR="0048124C">
        <w:rPr>
          <w:rFonts w:ascii="Arial" w:hAnsi="Arial" w:cs="Arial"/>
          <w:bCs/>
          <w:iCs/>
          <w:sz w:val="28"/>
          <w:szCs w:val="28"/>
        </w:rPr>
        <w:t>,</w:t>
      </w:r>
      <w:r>
        <w:rPr>
          <w:rFonts w:ascii="Arial" w:hAnsi="Arial" w:cs="Arial"/>
          <w:bCs/>
          <w:iCs/>
          <w:sz w:val="28"/>
          <w:szCs w:val="28"/>
        </w:rPr>
        <w:t xml:space="preserve"> intimidation, threats, coercion, harassment, or other adverse actions threatened towards any person making a complaint of sexual harassment or misconduct, towards any person (including a witness) cooperating in the investigation/hearing of any allegation of sexual harassment or sexual misconduct or towards any person declining to participate in an investigation/hearing related to an allegation of sexual harassment or sexual misconduct.  </w:t>
      </w:r>
      <w:proofErr w:type="gramStart"/>
      <w:r>
        <w:rPr>
          <w:rFonts w:ascii="Arial" w:hAnsi="Arial" w:cs="Arial"/>
          <w:bCs/>
          <w:iCs/>
          <w:sz w:val="28"/>
          <w:szCs w:val="28"/>
        </w:rPr>
        <w:t>Retaliation is prohibited by the College</w:t>
      </w:r>
      <w:proofErr w:type="gramEnd"/>
      <w:r>
        <w:rPr>
          <w:rFonts w:ascii="Arial" w:hAnsi="Arial" w:cs="Arial"/>
          <w:bCs/>
          <w:iCs/>
          <w:sz w:val="28"/>
          <w:szCs w:val="28"/>
        </w:rPr>
        <w:t>.</w:t>
      </w:r>
      <w:r w:rsidR="00D369F4">
        <w:rPr>
          <w:rFonts w:ascii="Arial" w:hAnsi="Arial" w:cs="Arial"/>
          <w:bCs/>
          <w:iCs/>
          <w:sz w:val="28"/>
          <w:szCs w:val="28"/>
        </w:rPr>
        <w:t xml:space="preserve"> Retaliation should </w:t>
      </w:r>
      <w:proofErr w:type="gramStart"/>
      <w:r w:rsidR="00D369F4">
        <w:rPr>
          <w:rFonts w:ascii="Arial" w:hAnsi="Arial" w:cs="Arial"/>
          <w:bCs/>
          <w:iCs/>
          <w:sz w:val="28"/>
          <w:szCs w:val="28"/>
        </w:rPr>
        <w:t>be reported</w:t>
      </w:r>
      <w:proofErr w:type="gramEnd"/>
      <w:r w:rsidR="00D369F4">
        <w:rPr>
          <w:rFonts w:ascii="Arial" w:hAnsi="Arial" w:cs="Arial"/>
          <w:bCs/>
          <w:iCs/>
          <w:sz w:val="28"/>
          <w:szCs w:val="28"/>
        </w:rPr>
        <w:t xml:space="preserve"> promptly and may result in disciplinary action independent of allegations of sexual harassment and misconduct.</w:t>
      </w:r>
    </w:p>
    <w:p w14:paraId="2A0F290B" w14:textId="77777777" w:rsidR="00D369F4" w:rsidRDefault="00D369F4" w:rsidP="00454CFA">
      <w:pPr>
        <w:pStyle w:val="BodyTextIndent"/>
        <w:tabs>
          <w:tab w:val="clear" w:pos="5040"/>
        </w:tabs>
        <w:spacing w:after="0" w:line="240" w:lineRule="auto"/>
        <w:ind w:left="0" w:firstLine="0"/>
        <w:rPr>
          <w:rFonts w:ascii="Arial" w:hAnsi="Arial" w:cs="Arial"/>
          <w:bCs/>
          <w:iCs/>
          <w:sz w:val="28"/>
          <w:szCs w:val="28"/>
        </w:rPr>
      </w:pPr>
    </w:p>
    <w:p w14:paraId="601349FB" w14:textId="43976CDF" w:rsidR="00D369F4" w:rsidRDefault="00D369F4" w:rsidP="00454CFA">
      <w:pPr>
        <w:pStyle w:val="BodyTextIndent"/>
        <w:tabs>
          <w:tab w:val="clear" w:pos="5040"/>
        </w:tabs>
        <w:spacing w:after="0" w:line="240" w:lineRule="auto"/>
        <w:ind w:left="0" w:firstLine="0"/>
        <w:rPr>
          <w:rFonts w:ascii="Arial" w:hAnsi="Arial" w:cs="Arial"/>
          <w:bCs/>
          <w:iCs/>
          <w:sz w:val="28"/>
          <w:szCs w:val="28"/>
        </w:rPr>
      </w:pPr>
      <w:r>
        <w:rPr>
          <w:rFonts w:ascii="Arial" w:hAnsi="Arial" w:cs="Arial"/>
          <w:bCs/>
          <w:iCs/>
          <w:sz w:val="28"/>
          <w:szCs w:val="28"/>
        </w:rPr>
        <w:t xml:space="preserve">The College’s Code of Student Conduct shall include sexual misconduct as an offense subject to </w:t>
      </w:r>
      <w:r w:rsidR="004361E7">
        <w:rPr>
          <w:rFonts w:ascii="Arial" w:hAnsi="Arial" w:cs="Arial"/>
          <w:bCs/>
          <w:iCs/>
          <w:sz w:val="28"/>
          <w:szCs w:val="28"/>
        </w:rPr>
        <w:t>disciplinary</w:t>
      </w:r>
      <w:r>
        <w:rPr>
          <w:rFonts w:ascii="Arial" w:hAnsi="Arial" w:cs="Arial"/>
          <w:bCs/>
          <w:iCs/>
          <w:sz w:val="28"/>
          <w:szCs w:val="28"/>
        </w:rPr>
        <w:t xml:space="preserve"> action</w:t>
      </w:r>
      <w:proofErr w:type="gramStart"/>
      <w:r>
        <w:rPr>
          <w:rFonts w:ascii="Arial" w:hAnsi="Arial" w:cs="Arial"/>
          <w:bCs/>
          <w:iCs/>
          <w:sz w:val="28"/>
          <w:szCs w:val="28"/>
        </w:rPr>
        <w:t xml:space="preserve">.  </w:t>
      </w:r>
      <w:proofErr w:type="gramEnd"/>
      <w:r>
        <w:rPr>
          <w:rFonts w:ascii="Arial" w:hAnsi="Arial" w:cs="Arial"/>
          <w:bCs/>
          <w:iCs/>
          <w:sz w:val="28"/>
          <w:szCs w:val="28"/>
        </w:rPr>
        <w:t xml:space="preserve">A student accused of an offense of sexual misconduct </w:t>
      </w:r>
      <w:r w:rsidR="004361E7">
        <w:rPr>
          <w:rFonts w:ascii="Arial" w:hAnsi="Arial" w:cs="Arial"/>
          <w:bCs/>
          <w:iCs/>
          <w:sz w:val="28"/>
          <w:szCs w:val="28"/>
        </w:rPr>
        <w:t>shall</w:t>
      </w:r>
      <w:r>
        <w:rPr>
          <w:rFonts w:ascii="Arial" w:hAnsi="Arial" w:cs="Arial"/>
          <w:bCs/>
          <w:iCs/>
          <w:sz w:val="28"/>
          <w:szCs w:val="28"/>
        </w:rPr>
        <w:t xml:space="preserve"> </w:t>
      </w:r>
      <w:proofErr w:type="gramStart"/>
      <w:r>
        <w:rPr>
          <w:rFonts w:ascii="Arial" w:hAnsi="Arial" w:cs="Arial"/>
          <w:bCs/>
          <w:iCs/>
          <w:sz w:val="28"/>
          <w:szCs w:val="28"/>
        </w:rPr>
        <w:t>be entitled</w:t>
      </w:r>
      <w:proofErr w:type="gramEnd"/>
      <w:r>
        <w:rPr>
          <w:rFonts w:ascii="Arial" w:hAnsi="Arial" w:cs="Arial"/>
          <w:bCs/>
          <w:iCs/>
          <w:sz w:val="28"/>
          <w:szCs w:val="28"/>
        </w:rPr>
        <w:t xml:space="preserve"> to the same rights of due process as students accused of other violations </w:t>
      </w:r>
      <w:r w:rsidR="004361E7">
        <w:rPr>
          <w:rFonts w:ascii="Arial" w:hAnsi="Arial" w:cs="Arial"/>
          <w:bCs/>
          <w:iCs/>
          <w:sz w:val="28"/>
          <w:szCs w:val="28"/>
        </w:rPr>
        <w:t>of the</w:t>
      </w:r>
      <w:r>
        <w:rPr>
          <w:rFonts w:ascii="Arial" w:hAnsi="Arial" w:cs="Arial"/>
          <w:bCs/>
          <w:iCs/>
          <w:sz w:val="28"/>
          <w:szCs w:val="28"/>
        </w:rPr>
        <w:t xml:space="preserve"> Code</w:t>
      </w:r>
      <w:r w:rsidR="004361E7">
        <w:rPr>
          <w:rFonts w:ascii="Arial" w:hAnsi="Arial" w:cs="Arial"/>
          <w:bCs/>
          <w:iCs/>
          <w:sz w:val="28"/>
          <w:szCs w:val="28"/>
        </w:rPr>
        <w:t xml:space="preserve"> </w:t>
      </w:r>
      <w:r>
        <w:rPr>
          <w:rFonts w:ascii="Arial" w:hAnsi="Arial" w:cs="Arial"/>
          <w:bCs/>
          <w:iCs/>
          <w:sz w:val="28"/>
          <w:szCs w:val="28"/>
        </w:rPr>
        <w:t>of Student Conduct</w:t>
      </w:r>
      <w:proofErr w:type="gramStart"/>
      <w:r>
        <w:rPr>
          <w:rFonts w:ascii="Arial" w:hAnsi="Arial" w:cs="Arial"/>
          <w:bCs/>
          <w:iCs/>
          <w:sz w:val="28"/>
          <w:szCs w:val="28"/>
        </w:rPr>
        <w:t xml:space="preserve">.  </w:t>
      </w:r>
      <w:proofErr w:type="gramEnd"/>
      <w:r>
        <w:rPr>
          <w:rFonts w:ascii="Arial" w:hAnsi="Arial" w:cs="Arial"/>
          <w:bCs/>
          <w:iCs/>
          <w:sz w:val="28"/>
          <w:szCs w:val="28"/>
        </w:rPr>
        <w:t xml:space="preserve">In all </w:t>
      </w:r>
      <w:r>
        <w:rPr>
          <w:rFonts w:ascii="Arial" w:hAnsi="Arial" w:cs="Arial"/>
          <w:bCs/>
          <w:iCs/>
          <w:sz w:val="28"/>
          <w:szCs w:val="28"/>
        </w:rPr>
        <w:lastRenderedPageBreak/>
        <w:t xml:space="preserve">Student Conduct hearings, the preponderance of the evidence standard </w:t>
      </w:r>
      <w:proofErr w:type="gramStart"/>
      <w:r>
        <w:rPr>
          <w:rFonts w:ascii="Arial" w:hAnsi="Arial" w:cs="Arial"/>
          <w:bCs/>
          <w:iCs/>
          <w:sz w:val="28"/>
          <w:szCs w:val="28"/>
        </w:rPr>
        <w:t>is used</w:t>
      </w:r>
      <w:proofErr w:type="gramEnd"/>
      <w:r>
        <w:rPr>
          <w:rFonts w:ascii="Arial" w:hAnsi="Arial" w:cs="Arial"/>
          <w:bCs/>
          <w:iCs/>
          <w:sz w:val="28"/>
          <w:szCs w:val="28"/>
        </w:rPr>
        <w:t xml:space="preserve"> in determining outcomes.</w:t>
      </w:r>
    </w:p>
    <w:p w14:paraId="7087A239" w14:textId="77777777" w:rsidR="00D369F4" w:rsidRDefault="00D369F4" w:rsidP="00454CFA">
      <w:pPr>
        <w:pStyle w:val="BodyTextIndent"/>
        <w:tabs>
          <w:tab w:val="clear" w:pos="5040"/>
        </w:tabs>
        <w:spacing w:after="0" w:line="240" w:lineRule="auto"/>
        <w:ind w:left="0" w:firstLine="0"/>
        <w:rPr>
          <w:rFonts w:ascii="Arial" w:hAnsi="Arial" w:cs="Arial"/>
          <w:bCs/>
          <w:iCs/>
          <w:sz w:val="28"/>
          <w:szCs w:val="28"/>
        </w:rPr>
      </w:pPr>
    </w:p>
    <w:p w14:paraId="7E945C07" w14:textId="765830EC" w:rsidR="00D369F4" w:rsidRDefault="00D369F4" w:rsidP="00454CFA">
      <w:pPr>
        <w:pStyle w:val="BodyTextIndent"/>
        <w:tabs>
          <w:tab w:val="clear" w:pos="5040"/>
        </w:tabs>
        <w:spacing w:after="0" w:line="240" w:lineRule="auto"/>
        <w:ind w:left="0" w:firstLine="0"/>
        <w:rPr>
          <w:rFonts w:ascii="Arial" w:hAnsi="Arial" w:cs="Arial"/>
          <w:bCs/>
          <w:iCs/>
          <w:sz w:val="28"/>
          <w:szCs w:val="28"/>
        </w:rPr>
      </w:pPr>
      <w:r>
        <w:rPr>
          <w:rFonts w:ascii="Arial" w:hAnsi="Arial" w:cs="Arial"/>
          <w:bCs/>
          <w:iCs/>
          <w:sz w:val="28"/>
          <w:szCs w:val="28"/>
        </w:rPr>
        <w:t xml:space="preserve">The administration of the College shall adopt procedures for handling sexual misconduct cases, including the </w:t>
      </w:r>
      <w:proofErr w:type="gramStart"/>
      <w:r>
        <w:rPr>
          <w:rFonts w:ascii="Arial" w:hAnsi="Arial" w:cs="Arial"/>
          <w:bCs/>
          <w:iCs/>
          <w:sz w:val="28"/>
          <w:szCs w:val="28"/>
        </w:rPr>
        <w:t>manner in which</w:t>
      </w:r>
      <w:proofErr w:type="gramEnd"/>
      <w:r>
        <w:rPr>
          <w:rFonts w:ascii="Arial" w:hAnsi="Arial" w:cs="Arial"/>
          <w:bCs/>
          <w:iCs/>
          <w:sz w:val="28"/>
          <w:szCs w:val="28"/>
        </w:rPr>
        <w:t xml:space="preserve"> victims of sexual misconduct will </w:t>
      </w:r>
      <w:proofErr w:type="gramStart"/>
      <w:r>
        <w:rPr>
          <w:rFonts w:ascii="Arial" w:hAnsi="Arial" w:cs="Arial"/>
          <w:bCs/>
          <w:iCs/>
          <w:sz w:val="28"/>
          <w:szCs w:val="28"/>
        </w:rPr>
        <w:t>be assisted</w:t>
      </w:r>
      <w:proofErr w:type="gramEnd"/>
      <w:r>
        <w:rPr>
          <w:rFonts w:ascii="Arial" w:hAnsi="Arial" w:cs="Arial"/>
          <w:bCs/>
          <w:iCs/>
          <w:sz w:val="28"/>
          <w:szCs w:val="28"/>
        </w:rPr>
        <w:t>, which may include interim measures during the investigation and hearing process</w:t>
      </w:r>
      <w:proofErr w:type="gramStart"/>
      <w:r>
        <w:rPr>
          <w:rFonts w:ascii="Arial" w:hAnsi="Arial" w:cs="Arial"/>
          <w:bCs/>
          <w:iCs/>
          <w:sz w:val="28"/>
          <w:szCs w:val="28"/>
        </w:rPr>
        <w:t xml:space="preserve">.  </w:t>
      </w:r>
      <w:proofErr w:type="gramEnd"/>
      <w:r>
        <w:rPr>
          <w:rFonts w:ascii="Arial" w:hAnsi="Arial" w:cs="Arial"/>
          <w:bCs/>
          <w:iCs/>
          <w:sz w:val="28"/>
          <w:szCs w:val="28"/>
        </w:rPr>
        <w:t>Furthermore, the College retains the authority to remove a respondent from an education program or activity on an emergency basis if:</w:t>
      </w:r>
    </w:p>
    <w:p w14:paraId="7C0E123F" w14:textId="77777777" w:rsidR="00D369F4" w:rsidRDefault="00D369F4" w:rsidP="00454CFA">
      <w:pPr>
        <w:pStyle w:val="BodyTextIndent"/>
        <w:tabs>
          <w:tab w:val="clear" w:pos="5040"/>
        </w:tabs>
        <w:spacing w:after="0" w:line="240" w:lineRule="auto"/>
        <w:ind w:left="0" w:firstLine="0"/>
        <w:rPr>
          <w:rFonts w:ascii="Arial" w:hAnsi="Arial" w:cs="Arial"/>
          <w:bCs/>
          <w:iCs/>
          <w:sz w:val="28"/>
          <w:szCs w:val="28"/>
        </w:rPr>
      </w:pPr>
    </w:p>
    <w:p w14:paraId="7BFDB995" w14:textId="58CC64E2" w:rsidR="00D369F4" w:rsidRDefault="00D369F4" w:rsidP="00D369F4">
      <w:pPr>
        <w:pStyle w:val="BodyTextIndent"/>
        <w:numPr>
          <w:ilvl w:val="0"/>
          <w:numId w:val="7"/>
        </w:numPr>
        <w:tabs>
          <w:tab w:val="clear" w:pos="5040"/>
        </w:tabs>
        <w:spacing w:after="0" w:line="240" w:lineRule="auto"/>
        <w:rPr>
          <w:rFonts w:ascii="Arial" w:hAnsi="Arial" w:cs="Arial"/>
          <w:bCs/>
          <w:iCs/>
          <w:sz w:val="28"/>
          <w:szCs w:val="28"/>
        </w:rPr>
      </w:pPr>
      <w:r>
        <w:rPr>
          <w:rFonts w:ascii="Arial" w:hAnsi="Arial" w:cs="Arial"/>
          <w:bCs/>
          <w:iCs/>
          <w:sz w:val="28"/>
          <w:szCs w:val="28"/>
        </w:rPr>
        <w:t>The College undertakes an individual safety and risk analysis;</w:t>
      </w:r>
    </w:p>
    <w:p w14:paraId="545E47F8" w14:textId="01834B69" w:rsidR="00D369F4" w:rsidRDefault="00D369F4" w:rsidP="00D369F4">
      <w:pPr>
        <w:pStyle w:val="BodyTextIndent"/>
        <w:numPr>
          <w:ilvl w:val="0"/>
          <w:numId w:val="7"/>
        </w:numPr>
        <w:tabs>
          <w:tab w:val="clear" w:pos="5040"/>
        </w:tabs>
        <w:spacing w:after="0" w:line="240" w:lineRule="auto"/>
        <w:rPr>
          <w:rFonts w:ascii="Arial" w:hAnsi="Arial" w:cs="Arial"/>
          <w:bCs/>
          <w:iCs/>
          <w:sz w:val="28"/>
          <w:szCs w:val="28"/>
        </w:rPr>
      </w:pPr>
      <w:r>
        <w:rPr>
          <w:rFonts w:ascii="Arial" w:hAnsi="Arial" w:cs="Arial"/>
          <w:bCs/>
          <w:iCs/>
          <w:sz w:val="28"/>
          <w:szCs w:val="28"/>
        </w:rPr>
        <w:t xml:space="preserve">The College determines the Respondent(s) pose an immediate, imminent threat to the physical safety or health of any student, </w:t>
      </w:r>
      <w:proofErr w:type="gramStart"/>
      <w:r>
        <w:rPr>
          <w:rFonts w:ascii="Arial" w:hAnsi="Arial" w:cs="Arial"/>
          <w:bCs/>
          <w:iCs/>
          <w:sz w:val="28"/>
          <w:szCs w:val="28"/>
        </w:rPr>
        <w:t>staff</w:t>
      </w:r>
      <w:proofErr w:type="gramEnd"/>
      <w:r>
        <w:rPr>
          <w:rFonts w:ascii="Arial" w:hAnsi="Arial" w:cs="Arial"/>
          <w:bCs/>
          <w:iCs/>
          <w:sz w:val="28"/>
          <w:szCs w:val="28"/>
        </w:rPr>
        <w:t xml:space="preserve"> or faculty, arising from the alleged sexual harassment or misconduct; and</w:t>
      </w:r>
    </w:p>
    <w:p w14:paraId="416D6FAB" w14:textId="325F3573" w:rsidR="00D369F4" w:rsidRDefault="00D369F4" w:rsidP="00D369F4">
      <w:pPr>
        <w:pStyle w:val="BodyTextIndent"/>
        <w:numPr>
          <w:ilvl w:val="0"/>
          <w:numId w:val="7"/>
        </w:numPr>
        <w:tabs>
          <w:tab w:val="clear" w:pos="5040"/>
        </w:tabs>
        <w:spacing w:after="0" w:line="240" w:lineRule="auto"/>
        <w:rPr>
          <w:rFonts w:ascii="Arial" w:hAnsi="Arial" w:cs="Arial"/>
          <w:bCs/>
          <w:iCs/>
          <w:sz w:val="28"/>
          <w:szCs w:val="28"/>
        </w:rPr>
      </w:pPr>
      <w:r>
        <w:rPr>
          <w:rFonts w:ascii="Arial" w:hAnsi="Arial" w:cs="Arial"/>
          <w:bCs/>
          <w:iCs/>
          <w:sz w:val="28"/>
          <w:szCs w:val="28"/>
        </w:rPr>
        <w:t>The College provides the Respondent with notice and an opportunity to challenge the decision immediately following the removal.</w:t>
      </w:r>
    </w:p>
    <w:p w14:paraId="4E95F71F" w14:textId="77777777" w:rsidR="00D369F4" w:rsidRDefault="00D369F4" w:rsidP="00D369F4">
      <w:pPr>
        <w:pStyle w:val="BodyTextIndent"/>
        <w:tabs>
          <w:tab w:val="clear" w:pos="5040"/>
        </w:tabs>
        <w:spacing w:after="0" w:line="240" w:lineRule="auto"/>
        <w:ind w:left="720" w:firstLine="0"/>
        <w:rPr>
          <w:rFonts w:ascii="Arial" w:hAnsi="Arial" w:cs="Arial"/>
          <w:bCs/>
          <w:iCs/>
          <w:sz w:val="28"/>
          <w:szCs w:val="28"/>
        </w:rPr>
      </w:pPr>
    </w:p>
    <w:p w14:paraId="754D4AA9" w14:textId="7C28D8D2" w:rsidR="00D369F4" w:rsidRDefault="0048124C" w:rsidP="00D369F4">
      <w:pPr>
        <w:pStyle w:val="BodyTextIndent"/>
        <w:tabs>
          <w:tab w:val="clear" w:pos="5040"/>
        </w:tabs>
        <w:spacing w:after="0" w:line="240" w:lineRule="auto"/>
        <w:ind w:left="0" w:firstLine="0"/>
        <w:rPr>
          <w:rFonts w:ascii="Arial" w:hAnsi="Arial" w:cs="Arial"/>
          <w:bCs/>
          <w:iCs/>
          <w:sz w:val="28"/>
          <w:szCs w:val="28"/>
        </w:rPr>
      </w:pPr>
      <w:r>
        <w:rPr>
          <w:rFonts w:ascii="Arial" w:hAnsi="Arial" w:cs="Arial"/>
          <w:bCs/>
          <w:iCs/>
          <w:sz w:val="28"/>
          <w:szCs w:val="28"/>
        </w:rPr>
        <w:t xml:space="preserve">Title IX (and Title VII) expressly prohibit retaliation against anyone who, in good faith, reports what s/he believes is sexual harassment or misconduct, who participates or cooperates in any investigation or who otherwise opposes unlawful conduct believed to be in violation of this policy. </w:t>
      </w:r>
      <w:r w:rsidR="00D369F4">
        <w:rPr>
          <w:rFonts w:ascii="Arial" w:hAnsi="Arial" w:cs="Arial"/>
          <w:bCs/>
          <w:iCs/>
          <w:sz w:val="28"/>
          <w:szCs w:val="28"/>
        </w:rPr>
        <w:t xml:space="preserve">Retaliation including intimidation, threats, harassment, or other adverse action threatened towards any person making a complaint of sexual misconduct or against any person (including a witness) cooperating in the investigation of any allegation of sexual misconduct, </w:t>
      </w:r>
      <w:proofErr w:type="gramStart"/>
      <w:r w:rsidR="00D369F4">
        <w:rPr>
          <w:rFonts w:ascii="Arial" w:hAnsi="Arial" w:cs="Arial"/>
          <w:bCs/>
          <w:iCs/>
          <w:sz w:val="28"/>
          <w:szCs w:val="28"/>
        </w:rPr>
        <w:t>is prohibited</w:t>
      </w:r>
      <w:proofErr w:type="gramEnd"/>
      <w:r w:rsidR="00D369F4">
        <w:rPr>
          <w:rFonts w:ascii="Arial" w:hAnsi="Arial" w:cs="Arial"/>
          <w:bCs/>
          <w:iCs/>
          <w:sz w:val="28"/>
          <w:szCs w:val="28"/>
        </w:rPr>
        <w:t xml:space="preserve"> by the College.  </w:t>
      </w:r>
      <w:r>
        <w:rPr>
          <w:rFonts w:ascii="Arial" w:hAnsi="Arial" w:cs="Arial"/>
          <w:bCs/>
          <w:iCs/>
          <w:sz w:val="28"/>
          <w:szCs w:val="28"/>
        </w:rPr>
        <w:t>Anyone who believes s/he has been the victim of retaliation for reporting sexual harassment or sexual misconduct, participating or cooperating in an investigation or otherwise opposing unlawful conduct believed to be in violation of this policy should immediately contact the Title IX Coordinator, who has authority to investigate all such claims.  Any individual found to</w:t>
      </w:r>
      <w:r w:rsidR="00A423A5">
        <w:rPr>
          <w:rFonts w:ascii="Arial" w:hAnsi="Arial" w:cs="Arial"/>
          <w:bCs/>
          <w:iCs/>
          <w:sz w:val="28"/>
          <w:szCs w:val="28"/>
        </w:rPr>
        <w:t xml:space="preserve"> </w:t>
      </w:r>
      <w:r>
        <w:rPr>
          <w:rFonts w:ascii="Arial" w:hAnsi="Arial" w:cs="Arial"/>
          <w:bCs/>
          <w:iCs/>
          <w:sz w:val="28"/>
          <w:szCs w:val="28"/>
        </w:rPr>
        <w:t xml:space="preserve">have retaliated against </w:t>
      </w:r>
      <w:r w:rsidR="00A423A5">
        <w:rPr>
          <w:rFonts w:ascii="Arial" w:hAnsi="Arial" w:cs="Arial"/>
          <w:bCs/>
          <w:iCs/>
          <w:sz w:val="28"/>
          <w:szCs w:val="28"/>
        </w:rPr>
        <w:t xml:space="preserve">another individual who engaged in conduct </w:t>
      </w:r>
      <w:proofErr w:type="gramStart"/>
      <w:r w:rsidR="00A423A5">
        <w:rPr>
          <w:rFonts w:ascii="Arial" w:hAnsi="Arial" w:cs="Arial"/>
          <w:bCs/>
          <w:iCs/>
          <w:sz w:val="28"/>
          <w:szCs w:val="28"/>
        </w:rPr>
        <w:t>consistent</w:t>
      </w:r>
      <w:proofErr w:type="gramEnd"/>
      <w:r w:rsidR="00A423A5">
        <w:rPr>
          <w:rFonts w:ascii="Arial" w:hAnsi="Arial" w:cs="Arial"/>
          <w:bCs/>
          <w:iCs/>
          <w:sz w:val="28"/>
          <w:szCs w:val="28"/>
        </w:rPr>
        <w:t xml:space="preserve"> with the protections afforded under this policy will be in violation of this policy and will be subject to disciplinary action.</w:t>
      </w:r>
      <w:r>
        <w:rPr>
          <w:rFonts w:ascii="Arial" w:hAnsi="Arial" w:cs="Arial"/>
          <w:bCs/>
          <w:iCs/>
          <w:sz w:val="28"/>
          <w:szCs w:val="28"/>
        </w:rPr>
        <w:t xml:space="preserve"> </w:t>
      </w:r>
    </w:p>
    <w:p w14:paraId="61728E91" w14:textId="77777777" w:rsidR="00A423A5" w:rsidRDefault="00A423A5" w:rsidP="00D369F4">
      <w:pPr>
        <w:pStyle w:val="BodyTextIndent"/>
        <w:tabs>
          <w:tab w:val="clear" w:pos="5040"/>
        </w:tabs>
        <w:spacing w:after="0" w:line="240" w:lineRule="auto"/>
        <w:ind w:left="0" w:firstLine="0"/>
        <w:rPr>
          <w:rFonts w:ascii="Arial" w:hAnsi="Arial" w:cs="Arial"/>
          <w:bCs/>
          <w:iCs/>
          <w:sz w:val="28"/>
          <w:szCs w:val="28"/>
        </w:rPr>
      </w:pPr>
    </w:p>
    <w:p w14:paraId="24D988CD" w14:textId="38809F47" w:rsidR="00A423A5" w:rsidRDefault="00A423A5" w:rsidP="00D369F4">
      <w:pPr>
        <w:pStyle w:val="BodyTextIndent"/>
        <w:tabs>
          <w:tab w:val="clear" w:pos="5040"/>
        </w:tabs>
        <w:spacing w:after="0" w:line="240" w:lineRule="auto"/>
        <w:ind w:left="0" w:firstLine="0"/>
        <w:rPr>
          <w:rFonts w:ascii="Arial" w:hAnsi="Arial" w:cs="Arial"/>
          <w:bCs/>
          <w:iCs/>
          <w:sz w:val="28"/>
          <w:szCs w:val="28"/>
        </w:rPr>
      </w:pPr>
      <w:r>
        <w:rPr>
          <w:rFonts w:ascii="Arial" w:hAnsi="Arial" w:cs="Arial"/>
          <w:bCs/>
          <w:iCs/>
          <w:sz w:val="28"/>
          <w:szCs w:val="28"/>
        </w:rPr>
        <w:t>Anyone who knowingly makes a false accusation of sexual harassment or sexual misconduct under this policy will be subject to appropriate sanctions</w:t>
      </w:r>
      <w:proofErr w:type="gramStart"/>
      <w:r>
        <w:rPr>
          <w:rFonts w:ascii="Arial" w:hAnsi="Arial" w:cs="Arial"/>
          <w:bCs/>
          <w:iCs/>
          <w:sz w:val="28"/>
          <w:szCs w:val="28"/>
        </w:rPr>
        <w:t xml:space="preserve">.  </w:t>
      </w:r>
      <w:proofErr w:type="gramEnd"/>
      <w:r>
        <w:rPr>
          <w:rFonts w:ascii="Arial" w:hAnsi="Arial" w:cs="Arial"/>
          <w:bCs/>
          <w:iCs/>
          <w:sz w:val="28"/>
          <w:szCs w:val="28"/>
        </w:rPr>
        <w:t xml:space="preserve">Failure to prove a claim of sexual harassment or sexual misconduct under </w:t>
      </w:r>
      <w:r>
        <w:rPr>
          <w:rFonts w:ascii="Arial" w:hAnsi="Arial" w:cs="Arial"/>
          <w:bCs/>
          <w:iCs/>
          <w:sz w:val="28"/>
          <w:szCs w:val="28"/>
        </w:rPr>
        <w:lastRenderedPageBreak/>
        <w:t>this policy does not, in and of itself, constitute proof of a knowingly false accusation.</w:t>
      </w:r>
    </w:p>
    <w:p w14:paraId="48726A6D" w14:textId="77777777" w:rsidR="00D369F4" w:rsidRDefault="00D369F4" w:rsidP="00D369F4">
      <w:pPr>
        <w:pStyle w:val="BodyTextIndent"/>
        <w:tabs>
          <w:tab w:val="clear" w:pos="5040"/>
        </w:tabs>
        <w:spacing w:after="0" w:line="240" w:lineRule="auto"/>
        <w:ind w:left="0" w:firstLine="0"/>
        <w:rPr>
          <w:rFonts w:ascii="Arial" w:hAnsi="Arial" w:cs="Arial"/>
          <w:bCs/>
          <w:iCs/>
          <w:sz w:val="28"/>
          <w:szCs w:val="28"/>
        </w:rPr>
      </w:pPr>
    </w:p>
    <w:p w14:paraId="38C07342" w14:textId="4D88F0A2" w:rsidR="00D369F4" w:rsidRDefault="00D369F4" w:rsidP="00D369F4">
      <w:pPr>
        <w:pStyle w:val="BodyTextIndent"/>
        <w:tabs>
          <w:tab w:val="clear" w:pos="5040"/>
        </w:tabs>
        <w:spacing w:after="0" w:line="240" w:lineRule="auto"/>
        <w:ind w:left="0" w:firstLine="0"/>
        <w:rPr>
          <w:rFonts w:ascii="Arial" w:hAnsi="Arial" w:cs="Arial"/>
          <w:bCs/>
          <w:iCs/>
          <w:sz w:val="28"/>
          <w:szCs w:val="28"/>
        </w:rPr>
      </w:pPr>
      <w:r>
        <w:rPr>
          <w:rFonts w:ascii="Arial" w:hAnsi="Arial" w:cs="Arial"/>
          <w:bCs/>
          <w:iCs/>
          <w:sz w:val="28"/>
          <w:szCs w:val="28"/>
        </w:rPr>
        <w:t>The administration shall also formulate and implement a comprehensive educational program to assure awareness of the problem of sexual harassment and misconduct, to discourage such acts, and to encourage reporting of such offenses to property authorities.</w:t>
      </w:r>
    </w:p>
    <w:p w14:paraId="1CF957BC" w14:textId="77777777" w:rsidR="00D369F4" w:rsidRDefault="00D369F4" w:rsidP="00D369F4">
      <w:pPr>
        <w:pStyle w:val="BodyTextIndent"/>
        <w:tabs>
          <w:tab w:val="clear" w:pos="5040"/>
        </w:tabs>
        <w:spacing w:after="0" w:line="240" w:lineRule="auto"/>
        <w:ind w:left="0" w:firstLine="0"/>
        <w:rPr>
          <w:rFonts w:ascii="Arial" w:hAnsi="Arial" w:cs="Arial"/>
          <w:bCs/>
          <w:iCs/>
          <w:sz w:val="28"/>
          <w:szCs w:val="28"/>
        </w:rPr>
      </w:pPr>
    </w:p>
    <w:p w14:paraId="4CDDB8E5" w14:textId="23CCA028" w:rsidR="00D369F4" w:rsidRPr="0062146E" w:rsidRDefault="000C3F5D" w:rsidP="00D369F4">
      <w:pPr>
        <w:pStyle w:val="BodyTextIndent"/>
        <w:tabs>
          <w:tab w:val="clear" w:pos="5040"/>
        </w:tabs>
        <w:spacing w:after="0" w:line="240" w:lineRule="auto"/>
        <w:ind w:left="0" w:firstLine="0"/>
        <w:rPr>
          <w:rFonts w:ascii="Arial" w:hAnsi="Arial" w:cs="Arial"/>
          <w:bCs/>
          <w:iCs/>
          <w:sz w:val="28"/>
          <w:szCs w:val="28"/>
        </w:rPr>
      </w:pPr>
      <w:r>
        <w:rPr>
          <w:rFonts w:ascii="Arial" w:hAnsi="Arial" w:cs="Arial"/>
          <w:bCs/>
          <w:iCs/>
          <w:sz w:val="28"/>
          <w:szCs w:val="28"/>
        </w:rPr>
        <w:t xml:space="preserve">Inquiries or complaints </w:t>
      </w:r>
      <w:r w:rsidR="00A423A5">
        <w:rPr>
          <w:rFonts w:ascii="Arial" w:hAnsi="Arial" w:cs="Arial"/>
          <w:bCs/>
          <w:iCs/>
          <w:sz w:val="28"/>
          <w:szCs w:val="28"/>
        </w:rPr>
        <w:t>should</w:t>
      </w:r>
      <w:r>
        <w:rPr>
          <w:rFonts w:ascii="Arial" w:hAnsi="Arial" w:cs="Arial"/>
          <w:bCs/>
          <w:iCs/>
          <w:sz w:val="28"/>
          <w:szCs w:val="28"/>
        </w:rPr>
        <w:t xml:space="preserve"> </w:t>
      </w:r>
      <w:proofErr w:type="gramStart"/>
      <w:r>
        <w:rPr>
          <w:rFonts w:ascii="Arial" w:hAnsi="Arial" w:cs="Arial"/>
          <w:bCs/>
          <w:iCs/>
          <w:sz w:val="28"/>
          <w:szCs w:val="28"/>
        </w:rPr>
        <w:t>be addressed</w:t>
      </w:r>
      <w:proofErr w:type="gramEnd"/>
      <w:r>
        <w:rPr>
          <w:rFonts w:ascii="Arial" w:hAnsi="Arial" w:cs="Arial"/>
          <w:bCs/>
          <w:iCs/>
          <w:sz w:val="28"/>
          <w:szCs w:val="28"/>
        </w:rPr>
        <w:t xml:space="preserve"> to the Title IX Coordinator, (386) 754-4313, 149 SE College Place, Building 1.</w:t>
      </w:r>
    </w:p>
    <w:p w14:paraId="61263C22" w14:textId="77777777" w:rsidR="00D63336" w:rsidRPr="00D63336" w:rsidRDefault="00D63336" w:rsidP="00454CFA">
      <w:pPr>
        <w:pStyle w:val="BodyTextIndent"/>
        <w:tabs>
          <w:tab w:val="clear" w:pos="5040"/>
        </w:tabs>
        <w:spacing w:after="0" w:line="240" w:lineRule="auto"/>
        <w:ind w:left="0" w:firstLine="0"/>
        <w:rPr>
          <w:rFonts w:ascii="Arial" w:hAnsi="Arial" w:cs="Arial"/>
          <w:b/>
          <w:iCs/>
          <w:sz w:val="28"/>
          <w:szCs w:val="28"/>
        </w:rPr>
      </w:pPr>
    </w:p>
    <w:p w14:paraId="67FC5F19" w14:textId="77777777" w:rsidR="000F6655" w:rsidRPr="00BC77B1" w:rsidRDefault="000F6655" w:rsidP="000F6655">
      <w:pPr>
        <w:pStyle w:val="BodyTextIndent"/>
        <w:tabs>
          <w:tab w:val="clear" w:pos="5040"/>
        </w:tabs>
        <w:spacing w:after="0" w:line="240" w:lineRule="auto"/>
        <w:ind w:left="720" w:firstLine="0"/>
        <w:rPr>
          <w:rFonts w:ascii="Arial" w:hAnsi="Arial" w:cs="Arial"/>
          <w:bCs/>
          <w:iCs/>
        </w:rPr>
      </w:pPr>
    </w:p>
    <w:p w14:paraId="57D92702" w14:textId="77777777" w:rsidR="000F6655" w:rsidRDefault="000F6655" w:rsidP="000F6655">
      <w:pPr>
        <w:pStyle w:val="StatutoryAuthority"/>
        <w:spacing w:after="0" w:line="240" w:lineRule="auto"/>
        <w:rPr>
          <w:rFonts w:cs="Arial"/>
        </w:rPr>
      </w:pPr>
    </w:p>
    <w:p w14:paraId="40BA6B44" w14:textId="77777777" w:rsidR="000F6655" w:rsidRPr="00B16546" w:rsidRDefault="000F6655" w:rsidP="000F6655">
      <w:pPr>
        <w:pStyle w:val="StatutoryAuthority"/>
        <w:spacing w:after="0" w:line="240" w:lineRule="auto"/>
        <w:rPr>
          <w:rFonts w:cs="Arial"/>
          <w:color w:val="0033CC"/>
        </w:rPr>
      </w:pPr>
      <w:r w:rsidRPr="00B16546">
        <w:rPr>
          <w:color w:val="0033CC"/>
        </w:rPr>
        <w:t>STATUTORY AUTHORITY:</w:t>
      </w:r>
      <w:r w:rsidRPr="00B16546">
        <w:rPr>
          <w:color w:val="0033CC"/>
        </w:rPr>
        <w:tab/>
        <w:t>120.54, 1001.41, 1001.42, 1012.23, F.S.</w:t>
      </w:r>
    </w:p>
    <w:p w14:paraId="4AB1ECFD" w14:textId="77777777" w:rsidR="000F6655" w:rsidRPr="00B16546" w:rsidRDefault="000F6655" w:rsidP="000F6655">
      <w:pPr>
        <w:pStyle w:val="StatutoryAuthority"/>
        <w:spacing w:after="0" w:line="240" w:lineRule="auto"/>
        <w:rPr>
          <w:color w:val="0033CC"/>
        </w:rPr>
      </w:pPr>
    </w:p>
    <w:p w14:paraId="26DD8539" w14:textId="77777777" w:rsidR="000F6655" w:rsidRPr="00B16546" w:rsidRDefault="000F6655" w:rsidP="000F6655">
      <w:pPr>
        <w:pStyle w:val="StatutoryAuthority"/>
        <w:spacing w:after="0" w:line="240" w:lineRule="auto"/>
        <w:rPr>
          <w:color w:val="0033CC"/>
        </w:rPr>
      </w:pPr>
    </w:p>
    <w:p w14:paraId="1B4C90FC" w14:textId="77777777" w:rsidR="000F6655" w:rsidRDefault="000F6655" w:rsidP="000F6655">
      <w:pPr>
        <w:pStyle w:val="StatutoryAuthority"/>
        <w:spacing w:after="0" w:line="240" w:lineRule="auto"/>
        <w:rPr>
          <w:color w:val="0033CC"/>
        </w:rPr>
      </w:pPr>
      <w:r w:rsidRPr="00B16546">
        <w:rPr>
          <w:color w:val="0033CC"/>
        </w:rPr>
        <w:t xml:space="preserve">LAW(S) IMPLEMENTED:                 </w:t>
      </w:r>
      <w:r>
        <w:rPr>
          <w:color w:val="0033CC"/>
        </w:rPr>
        <w:tab/>
      </w:r>
      <w:r w:rsidRPr="00B16546">
        <w:rPr>
          <w:color w:val="0033CC"/>
        </w:rPr>
        <w:t xml:space="preserve">112.51, 119.07, 760.01 et seq., </w:t>
      </w:r>
    </w:p>
    <w:p w14:paraId="6362CCA4" w14:textId="77777777" w:rsidR="000F6655" w:rsidRDefault="000F6655" w:rsidP="000F6655">
      <w:pPr>
        <w:pStyle w:val="StatutoryAuthority"/>
        <w:spacing w:after="0" w:line="240" w:lineRule="auto"/>
        <w:rPr>
          <w:color w:val="0033CC"/>
        </w:rPr>
      </w:pPr>
      <w:r>
        <w:rPr>
          <w:color w:val="0033CC"/>
        </w:rPr>
        <w:tab/>
      </w:r>
      <w:r>
        <w:rPr>
          <w:color w:val="0033CC"/>
        </w:rPr>
        <w:tab/>
        <w:t xml:space="preserve">                                                                      </w:t>
      </w:r>
      <w:r w:rsidRPr="00B16546">
        <w:rPr>
          <w:color w:val="0033CC"/>
        </w:rPr>
        <w:t>1000.05,</w:t>
      </w:r>
      <w:r>
        <w:rPr>
          <w:color w:val="0033CC"/>
        </w:rPr>
        <w:t xml:space="preserve"> </w:t>
      </w:r>
      <w:r>
        <w:rPr>
          <w:color w:val="FF0000"/>
          <w:u w:val="single"/>
        </w:rPr>
        <w:t>1000.21,</w:t>
      </w:r>
      <w:r>
        <w:rPr>
          <w:color w:val="FF0000"/>
        </w:rPr>
        <w:t xml:space="preserve"> </w:t>
      </w:r>
      <w:r w:rsidRPr="00B16546">
        <w:rPr>
          <w:color w:val="0033CC"/>
        </w:rPr>
        <w:t>1001.43,</w:t>
      </w:r>
      <w:r>
        <w:rPr>
          <w:color w:val="0033CC"/>
        </w:rPr>
        <w:t xml:space="preserve"> 1012.22, F.S.</w:t>
      </w:r>
    </w:p>
    <w:p w14:paraId="60519927" w14:textId="77777777" w:rsidR="000F6655" w:rsidRPr="001A092B" w:rsidRDefault="000F6655" w:rsidP="000F6655">
      <w:pPr>
        <w:pStyle w:val="StatutoryAuthority"/>
        <w:spacing w:after="0" w:line="240" w:lineRule="auto"/>
        <w:rPr>
          <w:color w:val="0033CC"/>
        </w:rPr>
      </w:pPr>
      <w:r>
        <w:rPr>
          <w:color w:val="0033CC"/>
        </w:rPr>
        <w:tab/>
      </w:r>
      <w:r w:rsidRPr="00B16546">
        <w:rPr>
          <w:color w:val="0033CC"/>
        </w:rPr>
        <w:t>34 CFR 99, 34 CFR 108, 34 CFR 200.43(c),</w:t>
      </w:r>
      <w:r>
        <w:rPr>
          <w:color w:val="0033CC"/>
        </w:rPr>
        <w:t xml:space="preserve"> </w:t>
      </w:r>
      <w:r w:rsidRPr="00B16546">
        <w:rPr>
          <w:rFonts w:ascii="Helvetica" w:hAnsi="Helvetica"/>
          <w:color w:val="0033CC"/>
        </w:rPr>
        <w:t>P.L.</w:t>
      </w:r>
      <w:r>
        <w:rPr>
          <w:rFonts w:ascii="Helvetica" w:hAnsi="Helvetica"/>
          <w:color w:val="0033CC"/>
        </w:rPr>
        <w:t>, 110-233</w:t>
      </w:r>
      <w:r w:rsidRPr="00B16546">
        <w:rPr>
          <w:rFonts w:ascii="Helvetica" w:hAnsi="Helvetica"/>
          <w:color w:val="0033CC"/>
        </w:rPr>
        <w:t xml:space="preserve"> </w:t>
      </w:r>
    </w:p>
    <w:p w14:paraId="356D4463" w14:textId="77777777" w:rsidR="000F6655" w:rsidRPr="001A092B" w:rsidRDefault="000F6655" w:rsidP="000F6655">
      <w:pPr>
        <w:pStyle w:val="StatutoryAuthority"/>
        <w:rPr>
          <w:color w:val="FF0000"/>
          <w:u w:val="single"/>
        </w:rPr>
      </w:pPr>
      <w:r w:rsidRPr="001A092B">
        <w:rPr>
          <w:color w:val="FF0000"/>
        </w:rPr>
        <w:tab/>
      </w:r>
    </w:p>
    <w:p w14:paraId="3BE54DED" w14:textId="77777777" w:rsidR="000F6655" w:rsidRPr="001A092B" w:rsidRDefault="000F6655" w:rsidP="000F6655">
      <w:pPr>
        <w:pStyle w:val="StatutoryAuthority"/>
        <w:rPr>
          <w:color w:val="FF0000"/>
          <w:u w:val="single"/>
        </w:rPr>
      </w:pPr>
      <w:r w:rsidRPr="001A092B">
        <w:rPr>
          <w:color w:val="FF0000"/>
        </w:rPr>
        <w:tab/>
      </w:r>
      <w:r w:rsidRPr="001A092B">
        <w:rPr>
          <w:color w:val="FF0000"/>
          <w:u w:val="single"/>
        </w:rPr>
        <w:t>20 U.S.C., 1681 et seq., Title IX of the United States Education Amendments of 1972;</w:t>
      </w:r>
    </w:p>
    <w:p w14:paraId="66EB4D45" w14:textId="77777777" w:rsidR="000F6655" w:rsidRPr="001A092B" w:rsidRDefault="000F6655" w:rsidP="000F6655">
      <w:pPr>
        <w:pStyle w:val="StatutoryAuthority"/>
        <w:rPr>
          <w:color w:val="FF0000"/>
          <w:u w:val="single"/>
        </w:rPr>
      </w:pPr>
      <w:r w:rsidRPr="001A092B">
        <w:rPr>
          <w:color w:val="FF0000"/>
        </w:rPr>
        <w:tab/>
      </w:r>
      <w:r w:rsidRPr="001A092B">
        <w:rPr>
          <w:color w:val="FF0000"/>
          <w:u w:val="single"/>
        </w:rPr>
        <w:t xml:space="preserve">42 U.S.C., 2000e et seq., Civil Rights Act of 1964; </w:t>
      </w:r>
    </w:p>
    <w:p w14:paraId="6C00378A" w14:textId="77777777" w:rsidR="000F6655" w:rsidRPr="009976FE" w:rsidRDefault="000F6655" w:rsidP="000F6655">
      <w:pPr>
        <w:pStyle w:val="StatutoryAuthority"/>
        <w:rPr>
          <w:dstrike/>
          <w:u w:val="single"/>
        </w:rPr>
      </w:pPr>
      <w:r w:rsidRPr="001A092B">
        <w:rPr>
          <w:color w:val="FF0000"/>
        </w:rPr>
        <w:tab/>
      </w:r>
      <w:r w:rsidRPr="001A092B">
        <w:rPr>
          <w:color w:val="FF0000"/>
          <w:u w:val="single"/>
        </w:rPr>
        <w:t>29 CFR Parts 1600-1699</w:t>
      </w:r>
    </w:p>
    <w:p w14:paraId="5F5FA36A" w14:textId="29222DFC" w:rsidR="000F6655" w:rsidRPr="00B16546" w:rsidRDefault="000F6655" w:rsidP="000F6655">
      <w:pPr>
        <w:pStyle w:val="StatutoryAuthority"/>
        <w:spacing w:after="0" w:line="240" w:lineRule="auto"/>
        <w:rPr>
          <w:color w:val="0033CC"/>
        </w:rPr>
      </w:pPr>
      <w:r w:rsidRPr="00B16546">
        <w:rPr>
          <w:color w:val="0033CC"/>
        </w:rPr>
        <w:t>STATE BOARD OF EDUCATION RULE(S):</w:t>
      </w:r>
      <w:r w:rsidRPr="00B16546">
        <w:rPr>
          <w:color w:val="0033CC"/>
        </w:rPr>
        <w:tab/>
        <w:t>6A-19.00</w:t>
      </w:r>
      <w:r w:rsidR="003849C4">
        <w:rPr>
          <w:color w:val="0033CC"/>
        </w:rPr>
        <w:t>8</w:t>
      </w:r>
    </w:p>
    <w:p w14:paraId="730D0421" w14:textId="77777777" w:rsidR="000F6655" w:rsidRPr="00B16546" w:rsidRDefault="000F6655" w:rsidP="000F6655">
      <w:pPr>
        <w:pStyle w:val="StatutoryAuthority"/>
        <w:spacing w:after="0" w:line="240" w:lineRule="auto"/>
        <w:rPr>
          <w:color w:val="0033CC"/>
        </w:rPr>
      </w:pPr>
    </w:p>
    <w:p w14:paraId="55645209" w14:textId="252ACA1B" w:rsidR="000F6655" w:rsidRPr="00B16546" w:rsidRDefault="000F6655" w:rsidP="000F6655">
      <w:pPr>
        <w:pStyle w:val="StatutoryAuthority"/>
        <w:spacing w:after="0" w:line="240" w:lineRule="auto"/>
        <w:rPr>
          <w:color w:val="0033CC"/>
        </w:rPr>
      </w:pPr>
      <w:r w:rsidRPr="00B16546">
        <w:rPr>
          <w:color w:val="0033CC"/>
        </w:rPr>
        <w:t xml:space="preserve">HISTORY:ADOPTED: </w:t>
      </w:r>
      <w:r w:rsidR="00A423A5">
        <w:rPr>
          <w:color w:val="0033CC"/>
        </w:rPr>
        <w:t>3/9/93; Effective: 3/9/93; Revised: 8/10/99; 3/14/00; 06/12/12, 12/9/14, 7/1/15, 1/12/16, 8/14/25</w:t>
      </w:r>
    </w:p>
    <w:p w14:paraId="04ABFA6A" w14:textId="77777777" w:rsidR="000F6655" w:rsidRPr="009976FE" w:rsidRDefault="000F6655" w:rsidP="000F6655">
      <w:pPr>
        <w:pStyle w:val="StatutoryAuthority"/>
        <w:spacing w:after="0" w:line="240" w:lineRule="auto"/>
        <w:rPr>
          <w:color w:val="auto"/>
        </w:rPr>
      </w:pPr>
      <w:r w:rsidRPr="00B16546">
        <w:rPr>
          <w:color w:val="0033CC"/>
        </w:rPr>
        <w:tab/>
      </w:r>
    </w:p>
    <w:p w14:paraId="54B27180" w14:textId="77777777" w:rsidR="000F6655" w:rsidRDefault="000F6655" w:rsidP="000F6655"/>
    <w:p w14:paraId="373DE7EB" w14:textId="77777777" w:rsidR="00B73C78" w:rsidRDefault="00B73C78"/>
    <w:sectPr w:rsidR="00B73C78" w:rsidSect="009478BD">
      <w:headerReference w:type="default" r:id="rId7"/>
      <w:footerReference w:type="default" r:id="rId8"/>
      <w:endnotePr>
        <w:numFmt w:val="decimal"/>
      </w:endnotePr>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68F1C" w14:textId="77777777" w:rsidR="008C78ED" w:rsidRDefault="008C78ED" w:rsidP="000F6655">
      <w:pPr>
        <w:spacing w:after="0" w:line="240" w:lineRule="auto"/>
      </w:pPr>
      <w:r>
        <w:separator/>
      </w:r>
    </w:p>
  </w:endnote>
  <w:endnote w:type="continuationSeparator" w:id="0">
    <w:p w14:paraId="39106865" w14:textId="77777777" w:rsidR="008C78ED" w:rsidRDefault="008C78ED" w:rsidP="000F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7A6B" w14:textId="650A1151" w:rsidR="008735E4" w:rsidRPr="005508AE" w:rsidRDefault="00000000">
    <w:pPr>
      <w:pStyle w:val="Footer"/>
      <w:tabs>
        <w:tab w:val="clear" w:pos="4320"/>
        <w:tab w:val="clear" w:pos="8640"/>
        <w:tab w:val="center" w:pos="4500"/>
        <w:tab w:val="right" w:pos="9360"/>
      </w:tabs>
      <w:rPr>
        <w:rFonts w:ascii="Arial" w:hAnsi="Arial" w:cs="Arial"/>
        <w:b/>
        <w:color w:val="FF0000"/>
        <w:sz w:val="28"/>
        <w:szCs w:val="28"/>
        <w:u w:val="single"/>
      </w:rPr>
    </w:pPr>
    <w:r w:rsidRPr="00711BA4">
      <w:rPr>
        <w:rFonts w:ascii="Arial" w:hAnsi="Arial" w:cs="Arial"/>
        <w:b/>
      </w:rPr>
      <w:tab/>
    </w:r>
    <w:r w:rsidRPr="005508AE">
      <w:rPr>
        <w:rFonts w:ascii="Arial" w:hAnsi="Arial" w:cs="Arial"/>
        <w:b/>
        <w:sz w:val="28"/>
        <w:szCs w:val="28"/>
      </w:rPr>
      <w:t xml:space="preserve">Page </w:t>
    </w:r>
    <w:r w:rsidRPr="005508AE">
      <w:rPr>
        <w:rFonts w:ascii="Arial" w:hAnsi="Arial" w:cs="Arial"/>
        <w:b/>
        <w:sz w:val="28"/>
        <w:szCs w:val="28"/>
      </w:rPr>
      <w:fldChar w:fldCharType="begin"/>
    </w:r>
    <w:r w:rsidRPr="005508AE">
      <w:rPr>
        <w:rFonts w:ascii="Arial" w:hAnsi="Arial" w:cs="Arial"/>
        <w:b/>
        <w:sz w:val="28"/>
        <w:szCs w:val="28"/>
      </w:rPr>
      <w:instrText xml:space="preserve"> PAGE </w:instrText>
    </w:r>
    <w:r w:rsidRPr="005508AE">
      <w:rPr>
        <w:rFonts w:ascii="Arial" w:hAnsi="Arial" w:cs="Arial"/>
        <w:b/>
        <w:sz w:val="28"/>
        <w:szCs w:val="28"/>
      </w:rPr>
      <w:fldChar w:fldCharType="separate"/>
    </w:r>
    <w:r w:rsidRPr="005508AE">
      <w:rPr>
        <w:rFonts w:ascii="Arial" w:hAnsi="Arial" w:cs="Arial"/>
        <w:b/>
        <w:noProof/>
        <w:sz w:val="28"/>
        <w:szCs w:val="28"/>
      </w:rPr>
      <w:t>21</w:t>
    </w:r>
    <w:r w:rsidRPr="005508AE">
      <w:rPr>
        <w:rFonts w:ascii="Arial" w:hAnsi="Arial" w:cs="Arial"/>
        <w:b/>
        <w:sz w:val="28"/>
        <w:szCs w:val="28"/>
      </w:rPr>
      <w:fldChar w:fldCharType="end"/>
    </w:r>
    <w:r w:rsidRPr="005508AE">
      <w:rPr>
        <w:rFonts w:ascii="Arial" w:hAnsi="Arial" w:cs="Arial"/>
        <w:b/>
        <w:sz w:val="28"/>
        <w:szCs w:val="28"/>
      </w:rPr>
      <w:t xml:space="preserve"> of </w:t>
    </w:r>
    <w:r w:rsidRPr="005508AE">
      <w:rPr>
        <w:rFonts w:ascii="Arial" w:hAnsi="Arial" w:cs="Arial"/>
        <w:b/>
        <w:sz w:val="28"/>
        <w:szCs w:val="28"/>
      </w:rPr>
      <w:fldChar w:fldCharType="begin"/>
    </w:r>
    <w:r w:rsidRPr="005508AE">
      <w:rPr>
        <w:rFonts w:ascii="Arial" w:hAnsi="Arial" w:cs="Arial"/>
        <w:b/>
        <w:sz w:val="28"/>
        <w:szCs w:val="28"/>
      </w:rPr>
      <w:instrText xml:space="preserve"> NUMPAGES </w:instrText>
    </w:r>
    <w:r w:rsidRPr="005508AE">
      <w:rPr>
        <w:rFonts w:ascii="Arial" w:hAnsi="Arial" w:cs="Arial"/>
        <w:b/>
        <w:sz w:val="28"/>
        <w:szCs w:val="28"/>
      </w:rPr>
      <w:fldChar w:fldCharType="separate"/>
    </w:r>
    <w:r w:rsidRPr="005508AE">
      <w:rPr>
        <w:rFonts w:ascii="Arial" w:hAnsi="Arial" w:cs="Arial"/>
        <w:b/>
        <w:noProof/>
        <w:sz w:val="28"/>
        <w:szCs w:val="28"/>
      </w:rPr>
      <w:t>24</w:t>
    </w:r>
    <w:r w:rsidRPr="005508AE">
      <w:rPr>
        <w:rFonts w:ascii="Arial" w:hAnsi="Arial" w:cs="Arial"/>
        <w:b/>
        <w:sz w:val="28"/>
        <w:szCs w:val="28"/>
      </w:rPr>
      <w:fldChar w:fldCharType="end"/>
    </w:r>
    <w:r w:rsidRPr="005508AE">
      <w:rPr>
        <w:rFonts w:ascii="Arial" w:hAnsi="Arial" w:cs="Arial"/>
        <w:b/>
        <w:sz w:val="28"/>
        <w:szCs w:val="28"/>
      </w:rPr>
      <w:tab/>
    </w:r>
  </w:p>
  <w:p w14:paraId="4AF3438C" w14:textId="77777777" w:rsidR="008735E4" w:rsidRPr="00711BA4" w:rsidRDefault="008735E4">
    <w:pPr>
      <w:pStyle w:val="Footer"/>
      <w:tabs>
        <w:tab w:val="clear" w:pos="4320"/>
        <w:tab w:val="clear" w:pos="8640"/>
        <w:tab w:val="center" w:pos="4500"/>
        <w:tab w:val="right" w:pos="9360"/>
      </w:tabs>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5FA0A" w14:textId="77777777" w:rsidR="008C78ED" w:rsidRDefault="008C78ED" w:rsidP="000F6655">
      <w:pPr>
        <w:spacing w:after="0" w:line="240" w:lineRule="auto"/>
      </w:pPr>
      <w:r>
        <w:separator/>
      </w:r>
    </w:p>
  </w:footnote>
  <w:footnote w:type="continuationSeparator" w:id="0">
    <w:p w14:paraId="590A3BCC" w14:textId="77777777" w:rsidR="008C78ED" w:rsidRDefault="008C78ED" w:rsidP="000F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5ED47" w14:textId="757ADBAA" w:rsidR="008735E4" w:rsidRPr="00711BA4" w:rsidRDefault="00000000">
    <w:pPr>
      <w:pStyle w:val="Header"/>
      <w:tabs>
        <w:tab w:val="clear" w:pos="4320"/>
        <w:tab w:val="clear" w:pos="8640"/>
      </w:tabs>
      <w:rPr>
        <w:rFonts w:ascii="Arial" w:hAnsi="Arial" w:cs="Arial"/>
        <w:b/>
      </w:rPr>
    </w:pPr>
    <w:sdt>
      <w:sdtPr>
        <w:rPr>
          <w:rFonts w:ascii="Arial" w:hAnsi="Arial" w:cs="Arial"/>
          <w:b/>
        </w:rPr>
        <w:id w:val="2087803479"/>
        <w:docPartObj>
          <w:docPartGallery w:val="Watermarks"/>
          <w:docPartUnique/>
        </w:docPartObj>
      </w:sdtPr>
      <w:sdtContent>
        <w:r>
          <w:rPr>
            <w:rFonts w:ascii="Arial" w:hAnsi="Arial" w:cs="Arial"/>
            <w:b/>
            <w:noProof/>
          </w:rPr>
          <w:pict w14:anchorId="5CB90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167"/>
    <w:multiLevelType w:val="hybridMultilevel"/>
    <w:tmpl w:val="E74CECCC"/>
    <w:lvl w:ilvl="0" w:tplc="C696FE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85565"/>
    <w:multiLevelType w:val="hybridMultilevel"/>
    <w:tmpl w:val="88AA6D8A"/>
    <w:lvl w:ilvl="0" w:tplc="E8861A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87061"/>
    <w:multiLevelType w:val="multilevel"/>
    <w:tmpl w:val="0FF81316"/>
    <w:lvl w:ilvl="0">
      <w:start w:val="1"/>
      <w:numFmt w:val="upperRoman"/>
      <w:lvlRestart w:val="0"/>
      <w:lvlText w:val="%1."/>
      <w:lvlJc w:val="left"/>
      <w:pPr>
        <w:tabs>
          <w:tab w:val="num" w:pos="720"/>
        </w:tabs>
        <w:ind w:left="720" w:hanging="720"/>
      </w:pPr>
      <w:rPr>
        <w:rFonts w:hint="default"/>
        <w:b w:val="0"/>
        <w:i w:val="0"/>
        <w:color w:val="FF0000"/>
        <w:sz w:val="24"/>
        <w:szCs w:val="24"/>
        <w:u w:val="none"/>
      </w:rPr>
    </w:lvl>
    <w:lvl w:ilvl="1">
      <w:start w:val="1"/>
      <w:numFmt w:val="bullet"/>
      <w:lvlText w:val=""/>
      <w:lvlJc w:val="left"/>
      <w:pPr>
        <w:tabs>
          <w:tab w:val="num" w:pos="1440"/>
        </w:tabs>
        <w:ind w:left="1440" w:hanging="720"/>
      </w:pPr>
      <w:rPr>
        <w:rFonts w:ascii="Symbol" w:hAnsi="Symbol" w:hint="default"/>
        <w:b w:val="0"/>
        <w:i w:val="0"/>
        <w:caps w:val="0"/>
        <w:strike w:val="0"/>
        <w:dstrike w:val="0"/>
        <w:color w:val="auto"/>
        <w:sz w:val="24"/>
        <w:szCs w:val="24"/>
        <w:u w:val="none"/>
      </w:rPr>
    </w:lvl>
    <w:lvl w:ilvl="2">
      <w:start w:val="1"/>
      <w:numFmt w:val="bullet"/>
      <w:lvlText w:val=""/>
      <w:lvlJc w:val="left"/>
      <w:pPr>
        <w:tabs>
          <w:tab w:val="num" w:pos="2160"/>
        </w:tabs>
        <w:ind w:left="2160" w:hanging="720"/>
      </w:pPr>
      <w:rPr>
        <w:rFonts w:ascii="Symbol" w:hAnsi="Symbol" w:hint="default"/>
        <w:b w:val="0"/>
        <w:i w:val="0"/>
        <w:sz w:val="24"/>
        <w:szCs w:val="24"/>
      </w:rPr>
    </w:lvl>
    <w:lvl w:ilvl="3">
      <w:start w:val="1"/>
      <w:numFmt w:val="lowerLetter"/>
      <w:lvlText w:val="%4."/>
      <w:lvlJc w:val="left"/>
      <w:pPr>
        <w:tabs>
          <w:tab w:val="num" w:pos="2880"/>
        </w:tabs>
        <w:ind w:left="2880" w:hanging="720"/>
      </w:pPr>
      <w:rPr>
        <w:rFonts w:hint="default"/>
        <w:color w:val="auto"/>
        <w:u w:val="none"/>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90677CF"/>
    <w:multiLevelType w:val="multilevel"/>
    <w:tmpl w:val="09AE9F1A"/>
    <w:lvl w:ilvl="0">
      <w:start w:val="1"/>
      <w:numFmt w:val="upperRoman"/>
      <w:lvlRestart w:val="0"/>
      <w:lvlText w:val="%1."/>
      <w:lvlJc w:val="left"/>
      <w:pPr>
        <w:tabs>
          <w:tab w:val="num" w:pos="720"/>
        </w:tabs>
        <w:ind w:left="720" w:hanging="720"/>
      </w:pPr>
      <w:rPr>
        <w:rFonts w:hint="default"/>
        <w:b w:val="0"/>
        <w:i w:val="0"/>
        <w:color w:val="FF0000"/>
        <w:sz w:val="24"/>
        <w:szCs w:val="24"/>
        <w:u w:val="none"/>
      </w:rPr>
    </w:lvl>
    <w:lvl w:ilvl="1">
      <w:start w:val="1"/>
      <w:numFmt w:val="upperLetter"/>
      <w:lvlText w:val="%2."/>
      <w:lvlJc w:val="left"/>
      <w:pPr>
        <w:tabs>
          <w:tab w:val="num" w:pos="1440"/>
        </w:tabs>
        <w:ind w:left="1440" w:hanging="720"/>
      </w:pPr>
      <w:rPr>
        <w:rFonts w:ascii="Arial" w:hAnsi="Arial" w:cs="Arial" w:hint="default"/>
        <w:b w:val="0"/>
        <w:i w:val="0"/>
        <w:caps w:val="0"/>
        <w:strike w:val="0"/>
        <w:dstrike w:val="0"/>
        <w:color w:val="auto"/>
        <w:sz w:val="24"/>
        <w:szCs w:val="24"/>
        <w:u w:val="none"/>
      </w:rPr>
    </w:lvl>
    <w:lvl w:ilvl="2">
      <w:start w:val="1"/>
      <w:numFmt w:val="decimal"/>
      <w:lvlText w:val="%3."/>
      <w:lvlJc w:val="left"/>
      <w:pPr>
        <w:tabs>
          <w:tab w:val="num" w:pos="2160"/>
        </w:tabs>
        <w:ind w:left="2160" w:hanging="720"/>
      </w:pPr>
      <w:rPr>
        <w:rFonts w:ascii="Arial" w:hAnsi="Arial" w:cs="Arial" w:hint="default"/>
        <w:b w:val="0"/>
        <w:i w:val="0"/>
        <w:sz w:val="24"/>
        <w:szCs w:val="24"/>
      </w:rPr>
    </w:lvl>
    <w:lvl w:ilvl="3">
      <w:start w:val="1"/>
      <w:numFmt w:val="lowerLetter"/>
      <w:lvlText w:val="%4."/>
      <w:lvlJc w:val="left"/>
      <w:pPr>
        <w:tabs>
          <w:tab w:val="num" w:pos="2880"/>
        </w:tabs>
        <w:ind w:left="2880" w:hanging="720"/>
      </w:pPr>
      <w:rPr>
        <w:rFonts w:hint="default"/>
        <w:color w:val="auto"/>
        <w:u w:val="none"/>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E441A03"/>
    <w:multiLevelType w:val="hybridMultilevel"/>
    <w:tmpl w:val="BD0C17DA"/>
    <w:lvl w:ilvl="0" w:tplc="6570179C">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002AC"/>
    <w:multiLevelType w:val="hybridMultilevel"/>
    <w:tmpl w:val="0140640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11734E0"/>
    <w:multiLevelType w:val="multilevel"/>
    <w:tmpl w:val="CC50B634"/>
    <w:lvl w:ilvl="0">
      <w:start w:val="1"/>
      <w:numFmt w:val="upperRoman"/>
      <w:lvlRestart w:val="0"/>
      <w:lvlText w:val="%1."/>
      <w:lvlJc w:val="left"/>
      <w:pPr>
        <w:tabs>
          <w:tab w:val="num" w:pos="720"/>
        </w:tabs>
        <w:ind w:left="720" w:hanging="720"/>
      </w:pPr>
      <w:rPr>
        <w:rFonts w:hint="default"/>
        <w:b w:val="0"/>
        <w:i w:val="0"/>
        <w:color w:val="FF0000"/>
        <w:sz w:val="24"/>
        <w:szCs w:val="24"/>
        <w:u w:val="none"/>
      </w:rPr>
    </w:lvl>
    <w:lvl w:ilvl="1">
      <w:start w:val="1"/>
      <w:numFmt w:val="bullet"/>
      <w:lvlText w:val=""/>
      <w:lvlJc w:val="left"/>
      <w:pPr>
        <w:tabs>
          <w:tab w:val="num" w:pos="1440"/>
        </w:tabs>
        <w:ind w:left="1440" w:hanging="720"/>
      </w:pPr>
      <w:rPr>
        <w:rFonts w:ascii="Symbol" w:hAnsi="Symbol" w:hint="default"/>
        <w:b w:val="0"/>
        <w:i w:val="0"/>
        <w:caps w:val="0"/>
        <w:strike w:val="0"/>
        <w:dstrike w:val="0"/>
        <w:color w:val="auto"/>
        <w:sz w:val="24"/>
        <w:szCs w:val="24"/>
        <w:u w:val="none"/>
      </w:rPr>
    </w:lvl>
    <w:lvl w:ilvl="2">
      <w:start w:val="1"/>
      <w:numFmt w:val="bullet"/>
      <w:lvlText w:val=""/>
      <w:lvlJc w:val="left"/>
      <w:pPr>
        <w:tabs>
          <w:tab w:val="num" w:pos="2160"/>
        </w:tabs>
        <w:ind w:left="2160" w:hanging="720"/>
      </w:pPr>
      <w:rPr>
        <w:rFonts w:ascii="Symbol" w:hAnsi="Symbol" w:hint="default"/>
        <w:b w:val="0"/>
        <w:i w:val="0"/>
        <w:sz w:val="24"/>
        <w:szCs w:val="24"/>
      </w:rPr>
    </w:lvl>
    <w:lvl w:ilvl="3">
      <w:start w:val="1"/>
      <w:numFmt w:val="bullet"/>
      <w:lvlText w:val=""/>
      <w:lvlJc w:val="left"/>
      <w:pPr>
        <w:tabs>
          <w:tab w:val="num" w:pos="2880"/>
        </w:tabs>
        <w:ind w:left="2880" w:hanging="720"/>
      </w:pPr>
      <w:rPr>
        <w:rFonts w:ascii="Symbol" w:hAnsi="Symbol" w:hint="default"/>
        <w:color w:val="auto"/>
        <w:u w:val="none"/>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60711970">
    <w:abstractNumId w:val="3"/>
  </w:num>
  <w:num w:numId="2" w16cid:durableId="1296061002">
    <w:abstractNumId w:val="5"/>
  </w:num>
  <w:num w:numId="3" w16cid:durableId="944579303">
    <w:abstractNumId w:val="2"/>
  </w:num>
  <w:num w:numId="4" w16cid:durableId="1123891089">
    <w:abstractNumId w:val="6"/>
  </w:num>
  <w:num w:numId="5" w16cid:durableId="1267999338">
    <w:abstractNumId w:val="1"/>
  </w:num>
  <w:num w:numId="6" w16cid:durableId="1879008618">
    <w:abstractNumId w:val="0"/>
  </w:num>
  <w:num w:numId="7" w16cid:durableId="1454208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55"/>
    <w:rsid w:val="000C3F5D"/>
    <w:rsid w:val="000F6655"/>
    <w:rsid w:val="00196C3B"/>
    <w:rsid w:val="001D5CBE"/>
    <w:rsid w:val="00212732"/>
    <w:rsid w:val="00221444"/>
    <w:rsid w:val="00295339"/>
    <w:rsid w:val="003849C4"/>
    <w:rsid w:val="00391FC0"/>
    <w:rsid w:val="003E06A4"/>
    <w:rsid w:val="004361E7"/>
    <w:rsid w:val="00454CFA"/>
    <w:rsid w:val="0048124C"/>
    <w:rsid w:val="004A41F9"/>
    <w:rsid w:val="005508AE"/>
    <w:rsid w:val="00567893"/>
    <w:rsid w:val="00570001"/>
    <w:rsid w:val="005F26CB"/>
    <w:rsid w:val="0062146E"/>
    <w:rsid w:val="007616A2"/>
    <w:rsid w:val="00831587"/>
    <w:rsid w:val="008735E4"/>
    <w:rsid w:val="00895C0D"/>
    <w:rsid w:val="008A5B58"/>
    <w:rsid w:val="008C55AF"/>
    <w:rsid w:val="008C78ED"/>
    <w:rsid w:val="009D0406"/>
    <w:rsid w:val="00A04DE2"/>
    <w:rsid w:val="00A423A5"/>
    <w:rsid w:val="00AB0DEA"/>
    <w:rsid w:val="00AB518C"/>
    <w:rsid w:val="00AD1F62"/>
    <w:rsid w:val="00AD4604"/>
    <w:rsid w:val="00B65084"/>
    <w:rsid w:val="00B73C78"/>
    <w:rsid w:val="00CE6E5B"/>
    <w:rsid w:val="00D369F4"/>
    <w:rsid w:val="00D63336"/>
    <w:rsid w:val="00EC7B19"/>
    <w:rsid w:val="00F1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2D294"/>
  <w15:chartTrackingRefBased/>
  <w15:docId w15:val="{E14D668F-07F8-4B26-87C1-D1677169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6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6655"/>
    <w:pPr>
      <w:tabs>
        <w:tab w:val="center" w:pos="4320"/>
        <w:tab w:val="right" w:pos="8640"/>
      </w:tabs>
    </w:pPr>
  </w:style>
  <w:style w:type="character" w:customStyle="1" w:styleId="HeaderChar">
    <w:name w:val="Header Char"/>
    <w:basedOn w:val="DefaultParagraphFont"/>
    <w:link w:val="Header"/>
    <w:rsid w:val="000F6655"/>
  </w:style>
  <w:style w:type="paragraph" w:styleId="Footer">
    <w:name w:val="footer"/>
    <w:basedOn w:val="Normal"/>
    <w:link w:val="FooterChar"/>
    <w:rsid w:val="000F6655"/>
    <w:pPr>
      <w:tabs>
        <w:tab w:val="center" w:pos="4320"/>
        <w:tab w:val="right" w:pos="8640"/>
      </w:tabs>
    </w:pPr>
  </w:style>
  <w:style w:type="character" w:customStyle="1" w:styleId="FooterChar">
    <w:name w:val="Footer Char"/>
    <w:basedOn w:val="DefaultParagraphFont"/>
    <w:link w:val="Footer"/>
    <w:rsid w:val="000F6655"/>
  </w:style>
  <w:style w:type="paragraph" w:styleId="BodyTextIndent">
    <w:name w:val="Body Text Indent"/>
    <w:basedOn w:val="Normal"/>
    <w:link w:val="BodyTextIndentChar"/>
    <w:rsid w:val="000F6655"/>
    <w:pPr>
      <w:tabs>
        <w:tab w:val="left" w:pos="5040"/>
      </w:tabs>
      <w:ind w:left="1440" w:hanging="720"/>
      <w:jc w:val="both"/>
    </w:pPr>
    <w:rPr>
      <w:sz w:val="24"/>
    </w:rPr>
  </w:style>
  <w:style w:type="character" w:customStyle="1" w:styleId="BodyTextIndentChar">
    <w:name w:val="Body Text Indent Char"/>
    <w:basedOn w:val="DefaultParagraphFont"/>
    <w:link w:val="BodyTextIndent"/>
    <w:rsid w:val="000F6655"/>
    <w:rPr>
      <w:sz w:val="24"/>
    </w:rPr>
  </w:style>
  <w:style w:type="paragraph" w:customStyle="1" w:styleId="StatutoryAuthority">
    <w:name w:val="Statutory Authority"/>
    <w:basedOn w:val="Normal"/>
    <w:rsid w:val="000F6655"/>
    <w:pPr>
      <w:tabs>
        <w:tab w:val="right" w:pos="9360"/>
      </w:tabs>
      <w:jc w:val="both"/>
    </w:pPr>
    <w:rPr>
      <w:rFonts w:ascii="Arial" w:hAnsi="Arial"/>
      <w:b/>
      <w:color w:val="0000FF"/>
      <w:sz w:val="24"/>
      <w:szCs w:val="24"/>
    </w:rPr>
  </w:style>
  <w:style w:type="paragraph" w:styleId="ListParagraph">
    <w:name w:val="List Paragraph"/>
    <w:basedOn w:val="Normal"/>
    <w:uiPriority w:val="34"/>
    <w:qFormat/>
    <w:rsid w:val="000F6655"/>
    <w:pPr>
      <w:ind w:left="720"/>
      <w:contextualSpacing/>
    </w:pPr>
  </w:style>
  <w:style w:type="paragraph" w:styleId="NormalWeb">
    <w:name w:val="Normal (Web)"/>
    <w:basedOn w:val="Normal"/>
    <w:uiPriority w:val="99"/>
    <w:unhideWhenUsed/>
    <w:rsid w:val="002953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4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6</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Logan</dc:creator>
  <cp:keywords/>
  <dc:description/>
  <cp:lastModifiedBy>Meagan Logan</cp:lastModifiedBy>
  <cp:revision>13</cp:revision>
  <dcterms:created xsi:type="dcterms:W3CDTF">2025-06-17T15:51:00Z</dcterms:created>
  <dcterms:modified xsi:type="dcterms:W3CDTF">2025-07-29T19:35:00Z</dcterms:modified>
</cp:coreProperties>
</file>